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
<Relationships xmlns="http://schemas.openxmlformats.org/package/2006/relationships">
 <Relationship Id="rId1" Type="http://schemas.openxmlformats.org/officeDocument/2006/relationships/officeDocument" Target="word/document.xml" />
 <Relationship Id="rId2" Type="http://schemas.openxmlformats.org/package/2006/relationships/metadata/core-properties" Target="docProps/core.xml" />
 <Relationship Id="rId3" Type="http://schemas.openxmlformats.org/officeDocument/2006/relationships/extended-properties" Target="docProps/app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96"/>
        <w:gridCol w:w="115"/>
        <w:gridCol w:w="444"/>
        <w:gridCol w:w="1361"/>
        <w:gridCol w:w="1691"/>
        <w:gridCol w:w="788"/>
        <w:gridCol w:w="902"/>
        <w:gridCol w:w="115"/>
        <w:gridCol w:w="1805"/>
      </w:tblGrid>
      <w:tr>
        <w:trPr>
          <w:trHeight w:hRule="exact" w:val="229"/>
        </w:trPr>
        <w:tc>
          <w:tcPr>
            <w:tcW w:w="10717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</w:tr>
      <w:tr>
        <w:trPr>
          <w:trHeight w:hRule="exact" w:val="215"/>
        </w:trPr>
        <w:tc>
          <w:tcPr>
            <w:tcW w:w="3611" w:type="dxa"/>
            <w:gridSpan w:val="2"/>
          </w:tcPr>
          <w:p>
     </w:p>
        </w:tc>
        <w:tc>
          <w:tcPr>
            <w:tcW w:w="3496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DEMONSTRAÇÃO DOS FLUXOS DE CAIXA</w:t>
            </w:r>
          </w:p>
        </w:tc>
        <w:tc>
          <w:tcPr>
            <w:tcW w:w="3610" w:type="dxa"/>
            <w:gridSpan w:val="4"/>
          </w:tcPr>
          <w:p>
     </w:p>
        </w:tc>
      </w:tr>
      <w:tr>
        <w:trPr>
          <w:trHeight w:hRule="exact" w:val="229"/>
        </w:trPr>
        <w:tc>
          <w:tcPr>
            <w:tcW w:w="3496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Exercício de 2017</w:t>
            </w:r>
          </w:p>
        </w:tc>
        <w:tc>
          <w:tcPr>
            <w:tcW w:w="7221" w:type="dxa"/>
            <w:gridSpan w:val="8"/>
          </w:tcPr>
          <w:p>
     </w:p>
        </w:tc>
      </w:tr>
      <w:tr>
        <w:trPr>
          <w:trHeight w:hRule="exact" w:val="230"/>
        </w:trPr>
        <w:tc>
          <w:tcPr>
            <w:tcW w:w="5416" w:type="dxa"/>
            <w:gridSpan w:val="4"/>
            <w:tcBorders>
              <w:bottom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  <w:tc>
          <w:tcPr>
            <w:tcW w:w="5301" w:type="dxa"/>
            <w:gridSpan w:val="5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444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FLUXO DE CAIXA DAS ATIVIDADES OPERACIONAIS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Nota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Ingressos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15.688.092,63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Receitas derivadas e originárias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1FC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3.319.037,91</w:t>
            </w:r>
          </w:p>
        </w:tc>
      </w:tr>
      <w:tr>
        <w:trPr>
          <w:trHeight w:hRule="exact" w:val="230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Transferências correntes e recebidas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2FC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11.551.491,38</w:t>
            </w:r>
          </w:p>
        </w:tc>
      </w:tr>
      <w:tr>
        <w:trPr>
          <w:trHeight w:hRule="exact" w:val="214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Outros ingressos operacionais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817.563,34</w:t>
            </w:r>
          </w:p>
        </w:tc>
      </w:tr>
      <w:tr>
        <w:trPr>
          <w:trHeight w:hRule="exact" w:val="230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Desembolsos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14.156.848,45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Pessoal e demais despesas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3FC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12.043.676,73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Transferências concedidas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2FC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1.304.874,90</w:t>
            </w:r>
          </w:p>
        </w:tc>
      </w:tr>
      <w:tr>
        <w:trPr>
          <w:trHeight w:hRule="exact" w:val="215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Outros desembolsos operacionais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808.296,82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Fluxo de caixa líquido das atividades operacionais (I)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1.531.244,18</w:t>
            </w:r>
          </w:p>
        </w:tc>
      </w:tr>
      <w:tr>
        <w:trPr>
          <w:trHeight w:hRule="exact" w:val="45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FLUXO DE CAIXA DAS ATIVIDADES DE INVESTIMENTO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Nota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15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Ingressos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63.000,00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Alienação de bens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63.000,00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Desembolsos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724.304,31</w:t>
            </w:r>
          </w:p>
        </w:tc>
      </w:tr>
      <w:tr>
        <w:trPr>
          <w:trHeight w:hRule="exact" w:val="230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Aquisição de ativo não circulante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724.304,31</w:t>
            </w:r>
          </w:p>
        </w:tc>
      </w:tr>
      <w:tr>
        <w:trPr>
          <w:trHeight w:hRule="exact" w:val="214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Fluxo de caixa líquido das atividades de investimento (II)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(661.304,31)</w:t>
            </w:r>
          </w:p>
        </w:tc>
      </w:tr>
      <w:tr>
        <w:trPr>
          <w:trHeight w:hRule="exact" w:val="45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FLUXO DE CAIXA DAS ATIVIDADES DE FINANCIAMENTO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Nota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Desembolsos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102.790,54</w:t>
            </w:r>
          </w:p>
        </w:tc>
      </w:tr>
      <w:tr>
        <w:trPr>
          <w:trHeight w:hRule="exact" w:val="215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Outros desembolsos de financiamentos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102.790,54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Fluxo de caixa das atividades de financiamento (III)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(102.790,54)</w:t>
            </w:r>
          </w:p>
        </w:tc>
      </w:tr>
      <w:tr>
        <w:trPr>
          <w:trHeight w:hRule="exact" w:val="45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Nota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15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GERAÇÃO LÍQUIDA DE CAIXA E EQUIVALENTE DE CAIXA (I + II + III)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767.149,33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Caixa e Equivalente de caixa inicial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11.586.557,66</w:t>
            </w:r>
          </w:p>
        </w:tc>
      </w:tr>
      <w:tr>
        <w:trPr>
          <w:trHeight w:hRule="exact" w:val="229"/>
        </w:trPr>
        <w:tc>
          <w:tcPr>
            <w:tcW w:w="710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Caixa e Equivalente de caixa final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12.353.706,99</w:t>
            </w:r>
          </w:p>
        </w:tc>
      </w:tr>
      <w:tr>
        <w:trPr>
          <w:trHeight w:hRule="exact" w:val="230"/>
        </w:trPr>
        <w:tc>
          <w:tcPr>
            <w:tcW w:w="10717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14"/>
        </w:trPr>
        <w:tc>
          <w:tcPr>
            <w:tcW w:w="10717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1FC - RECEITAS DERIVADAS E ORIGINÁRIAS</w:t>
            </w:r>
          </w:p>
        </w:tc>
      </w:tr>
      <w:tr>
        <w:trPr>
          <w:trHeight w:hRule="exact" w:val="45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Receita Tributária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534.088,78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Receita de Contribuições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1.200.282,94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Receita Patrimonial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27.758,52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Receita de Serviços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164.529,74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Remuneração das Disponibilidades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1.313.725,81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Outras Receitas Derivadas e Originárias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78.652,12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Receitas Derivadas e Originárias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3.319.037,91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30"/>
        </w:trPr>
        <w:tc>
          <w:tcPr>
            <w:tcW w:w="10717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2FC - TRANSFERÊNCIAS RECEBIDAS E CONCEDIDAS</w:t>
            </w:r>
          </w:p>
        </w:tc>
      </w:tr>
      <w:tr>
        <w:trPr>
          <w:trHeight w:hRule="exact" w:val="444"/>
        </w:trPr>
        <w:tc>
          <w:tcPr>
            <w:tcW w:w="7895" w:type="dxa"/>
            <w:gridSpan w:val="6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TRANSFERÊNCIAS CORRENTES RECEBIDAS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Intergovernamentais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9.666.794,41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     da União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7.135.955,35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     de Estados e Distrito Federal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2.530.839,06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Intragovernamentais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429.223,51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Outras transferências correntes recebidas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1.455.473,46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transferências recebidas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11.551.491,38</w:t>
            </w:r>
          </w:p>
        </w:tc>
      </w:tr>
      <w:tr>
        <w:trPr>
          <w:trHeight w:hRule="exact" w:val="444"/>
        </w:trPr>
        <w:tc>
          <w:tcPr>
            <w:tcW w:w="7895" w:type="dxa"/>
            <w:gridSpan w:val="6"/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TRANSFERÊNCIAS CONCEDIDAS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Intergovernamentais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49.218,03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     da União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0,08</w:t>
            </w:r>
          </w:p>
        </w:tc>
      </w:tr>
      <w:tr>
        <w:trPr>
          <w:trHeight w:hRule="exact" w:val="214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     de Estados e Distrito Federal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49.217,95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Intragovernamentais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1.235.856,87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Outras transferências concedidas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19.800,00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das transferências concedidas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1.304.874,90</w:t>
            </w:r>
          </w:p>
        </w:tc>
      </w:tr>
      <w:tr>
        <w:trPr>
          <w:trHeight w:hRule="exact" w:val="215"/>
        </w:trPr>
        <w:tc>
          <w:tcPr>
            <w:tcW w:w="10717" w:type="dxa"/>
            <w:gridSpan w:val="9"/>
            <w:tcBorders>
              <w:top w:val="single" w:sz="5" w:space="0" w:color="000000"/>
              <w:bottom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3FC - DESEMBOLSO DE PESSOAL E DEMAIS DESPESAS POR FUNÇÃO</w:t>
            </w:r>
          </w:p>
        </w:tc>
      </w:tr>
      <w:tr>
        <w:trPr>
          <w:trHeight w:hRule="exact" w:val="45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Legislativa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387.002,35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Administração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1.882.618,57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Assistência Social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429.691,82</w:t>
            </w:r>
          </w:p>
        </w:tc>
      </w:tr>
      <w:tr>
        <w:trPr>
          <w:trHeight w:hRule="exact" w:val="58"/>
        </w:trPr>
        <w:tc>
          <w:tcPr>
            <w:tcW w:w="10717" w:type="dxa"/>
            <w:gridSpan w:val="9"/>
            <w:tcBorders>
              <w:top w:val="single" w:sz="5" w:space="0" w:color="000000"/>
            </w:tcBorders>
          </w:tcPr>
          <w:p>
     </w:p>
        </w:tc>
      </w:tr>
      <w:tr>
        <w:trPr>
          <w:trHeight w:hRule="exact" w:val="229"/>
        </w:trPr>
        <w:tc>
          <w:tcPr>
            <w:tcW w:w="4055" w:type="dxa"/>
            <w:gridSpan w:val="3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5"/>
          </w:tcPr>
          <w:p>
     </w:p>
        </w:tc>
        <w:tc>
          <w:tcPr>
            <w:tcW w:w="1805" w:type="dxa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16/10/2018 10:30:37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9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UF: Estado do Rio Grande do Sul</w:t>
            </w:r>
          </w:p>
        </w:tc>
      </w:tr>
      <w:tr>
        <w:trPr>
          <w:trHeight w:hRule="exact" w:val="215"/>
        </w:trPr>
        <w:tc>
          <w:tcPr>
            <w:tcW w:w="3611" w:type="dxa"/>
            <w:gridSpan w:val="2"/>
          </w:tcPr>
          <w:p>
     </w:p>
        </w:tc>
        <w:tc>
          <w:tcPr>
            <w:tcW w:w="3496" w:type="dxa"/>
            <w:gridSpan w:val="3"/>
            <w:shd w:val="clear" w:color="auto" w:fill="FFFFFF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6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pacing w:val="-2"/>
              </w:rPr>
              <w:t xml:space="preserve">DEMONSTRAÇÃO DOS FLUXOS DE CAIXA</w:t>
            </w:r>
          </w:p>
        </w:tc>
        <w:tc>
          <w:tcPr>
            <w:tcW w:w="3610" w:type="dxa"/>
            <w:gridSpan w:val="4"/>
          </w:tcPr>
          <w:p>
     </w:p>
        </w:tc>
      </w:tr>
      <w:tr>
        <w:trPr>
          <w:trHeight w:hRule="exact" w:val="229"/>
        </w:trPr>
        <w:tc>
          <w:tcPr>
            <w:tcW w:w="3496" w:type="dxa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Período: Exercício de 2017</w:t>
            </w:r>
          </w:p>
        </w:tc>
        <w:tc>
          <w:tcPr>
            <w:tcW w:w="7221" w:type="dxa"/>
            <w:gridSpan w:val="8"/>
          </w:tcPr>
          <w:p>
     </w:p>
        </w:tc>
      </w:tr>
      <w:tr>
        <w:trPr>
          <w:trHeight w:hRule="exact" w:val="230"/>
        </w:trPr>
        <w:tc>
          <w:tcPr>
            <w:tcW w:w="5416" w:type="dxa"/>
            <w:gridSpan w:val="4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Unidade Gestora: 9999 - CONSOLIDADO</w:t>
            </w:r>
          </w:p>
        </w:tc>
        <w:tc>
          <w:tcPr>
            <w:tcW w:w="5301" w:type="dxa"/>
            <w:gridSpan w:val="5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9"/>
            <w:tcBorders>
              <w:bottom w:val="single" w:sz="5" w:space="0" w:color="000000"/>
            </w:tcBorders>
          </w:tcPr>
          <w:p>
     </w:p>
        </w:tc>
      </w:tr>
      <w:tr>
        <w:trPr>
          <w:trHeight w:hRule="exact" w:val="215"/>
        </w:trPr>
        <w:tc>
          <w:tcPr>
            <w:tcW w:w="10717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pacing w:val="-2"/>
              </w:rPr>
              <w:t xml:space="preserve">QUADRO 3FC - DESEMBOLSO DE PESSOAL E DEMAIS DESPESAS POR FUNÇÃO</w:t>
            </w:r>
          </w:p>
        </w:tc>
      </w:tr>
      <w:tr>
        <w:trPr>
          <w:trHeight w:hRule="exact" w:val="458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Exercício</w:t>
            </w:r>
          </w:p>
          <w:p>
            <w:pPr>
              <w:spacing w:line="232"/>
              <w:jc w:val="center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Atual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Previdência Social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1.088.379,54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Saúde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2.997.687,43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Educação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2.665.538,76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Cultura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44.755,10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Urbanismo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186.299,69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Habitação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26.527,74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Saneamento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129.559,39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Gestão Ambiental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215.864,81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Ciência e Tecnologia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23.209,29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Agricultura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842.811,59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Indústria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1.400,00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Comércio e Serviços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33.974,36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Transporte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896.483,80</w:t>
            </w:r>
          </w:p>
        </w:tc>
      </w:tr>
      <w:tr>
        <w:trPr>
          <w:trHeight w:hRule="exact" w:val="215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Desporto e Lazer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27.158,35</w:t>
            </w:r>
          </w:p>
        </w:tc>
      </w:tr>
      <w:tr>
        <w:trPr>
          <w:trHeight w:hRule="exact" w:val="230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     Encargos Especiais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0E0E0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164.714,14</w:t>
            </w:r>
          </w:p>
        </w:tc>
      </w:tr>
      <w:tr>
        <w:trPr>
          <w:trHeight w:hRule="exact" w:val="229"/>
        </w:trPr>
        <w:tc>
          <w:tcPr>
            <w:tcW w:w="7895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Total dos Desembolsos de Pessoal e Demais Despesas por Função</w:t>
            </w:r>
          </w:p>
        </w:tc>
        <w:tc>
          <w:tcPr>
            <w:tcW w:w="282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b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pacing w:val="-2"/>
              </w:rPr>
              <w:t xml:space="preserve">12.043.676,73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9"/>
            <w:tcBorders>
              <w:top w:val="single" w:sz="5" w:space="0" w:color="000000"/>
            </w:tcBorders>
            <w:shd w:val="clear" w:color="auto" w:fill="FFFFFF"/>
          </w:tcPr>
          <w:p>
     </w:p>
        </w:tc>
      </w:tr>
      <w:tr>
        <w:trPr>
          <w:trHeight w:hRule="exact" w:val="330"/>
        </w:trPr>
        <w:tc>
          <w:tcPr>
            <w:tcW w:w="10717" w:type="dxa"/>
            <w:gridSpan w:val="9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Nota: A Demonstração dos Fluxos de Caixa é elaborada pelo método direto, isto é, evidencia somente as movimentações ocorridas no caixa e seus equivalentes (bancos).</w:t>
            </w:r>
          </w:p>
          <w:p>
            <w:pPr>
              <w:spacing w:line="232"/>
              <w:rPr>
                <w:rFonts w:ascii="Arial" w:hAnsi="Arial" w:cs="Arial"/>
                <w:color w:val="000000"/>
                <w:sz w:val="14"/>
                <w:spacing w:val="-2"/>
              </w:rPr>
            </w:pPr>
            <w:r>
              <w:rPr>
                <w:rFonts w:ascii="Arial" w:hAnsi="Arial" w:cs="Arial"/>
                <w:color w:val="000000"/>
                <w:sz w:val="14"/>
                <w:spacing w:val="-2"/>
              </w:rPr>
              <w:t xml:space="preserve">Os valores apresentados consideram a movimentação das contas Intra OFSS.</w:t>
            </w:r>
          </w:p>
        </w:tc>
      </w:tr>
      <w:tr>
        <w:trPr>
          <w:trHeight w:hRule="exact" w:val="229"/>
        </w:trPr>
        <w:tc>
          <w:tcPr>
            <w:tcW w:w="10717" w:type="dxa"/>
            <w:gridSpan w:val="9"/>
            <w:vMerge w:val="restart"/>
            <w:shd w:val="clear" w:color="auto" w:fill="FFFFFF"/>
          </w:tcPr>
          <w:p>
     </w:p>
        </w:tc>
      </w:tr>
      <w:tr>
        <w:trPr>
          <w:trHeight w:hRule="exact" w:val="229"/>
        </w:trPr>
        <w:tc>
          <w:tcPr>
            <w:tcW w:w="10717" w:type="dxa"/>
            <w:gridSpan w:val="9"/>
            <w:vMerge/>
            <w:shd w:val="clear" w:color="auto" w:fill="FFFFFF"/>
          </w:tcPr>
          <w:p>
     </w:p>
        </w:tc>
      </w:tr>
      <w:tr>
        <w:trPr>
          <w:trHeight w:hRule="exact" w:val="831"/>
        </w:trPr>
        <w:tc>
          <w:tcPr>
            <w:tcW w:w="10717" w:type="dxa"/>
            <w:gridSpan w:val="9"/>
            <w:vAlign w:val="center"/>
            <w:shd w:val="clear" w:color="auto" w:fill="FFFFFF"/>
          </w:tcPr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___________________________________________     ___________________________________________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LAURO RODRIGUES VIEIRA - PREFEITO MUNICIPAL                   EDGAR LUIZ ROMAN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CPF 44866771020                                 209.413.740-68                                            </w:t>
            </w:r>
          </w:p>
          <w:p>
            <w:pPr>
              <w:spacing w:line="232"/>
              <w:rPr>
                <w:rFonts w:ascii="Lucida Console" w:hAnsi="Lucida Console" w:cs="Lucida Console"/>
                <w:color w:val="000000"/>
                <w:sz w:val="12"/>
                <w:spacing w:val="-2"/>
              </w:rPr>
            </w:pPr>
            <w:r>
              <w:rPr>
                <w:rFonts w:ascii="Lucida Console" w:hAnsi="Lucida Console" w:cs="Lucida Console"/>
                <w:color w:val="000000"/>
                <w:sz w:val="12"/>
                <w:spacing w:val="-2"/>
              </w:rPr>
              <w:t xml:space="preserve">                                                                                              TESOUREIRO                                              </w:t>
            </w:r>
          </w:p>
        </w:tc>
      </w:tr>
      <w:tr>
        <w:trPr>
          <w:trHeight w:hRule="exact" w:val="1433"/>
        </w:trPr>
        <w:tc>
          <w:tcPr>
            <w:tcW w:w="10717" w:type="dxa"/>
            <w:gridSpan w:val="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9"/>
          </w:tcPr>
          <w:p>
     </w:p>
        </w:tc>
      </w:tr>
      <w:tr>
        <w:trPr>
          <w:trHeight w:hRule="exact" w:val="1433"/>
        </w:trPr>
        <w:tc>
          <w:tcPr>
            <w:tcW w:w="10717" w:type="dxa"/>
            <w:gridSpan w:val="9"/>
          </w:tcPr>
          <w:p>
     </w:p>
        </w:tc>
      </w:tr>
      <w:tr>
        <w:trPr>
          <w:trHeight w:hRule="exact" w:val="1432"/>
        </w:trPr>
        <w:tc>
          <w:tcPr>
            <w:tcW w:w="10717" w:type="dxa"/>
            <w:gridSpan w:val="9"/>
          </w:tcPr>
          <w:p>
     </w:p>
        </w:tc>
      </w:tr>
      <w:tr>
        <w:trPr>
          <w:trHeight w:hRule="exact" w:val="1204"/>
        </w:trPr>
        <w:tc>
          <w:tcPr>
            <w:tcW w:w="10717" w:type="dxa"/>
            <w:gridSpan w:val="9"/>
          </w:tcPr>
          <w:p>
     </w:p>
        </w:tc>
      </w:tr>
      <w:tr>
        <w:trPr>
          <w:trHeight w:hRule="exact" w:val="1203"/>
        </w:trPr>
        <w:tc>
          <w:tcPr>
            <w:tcW w:w="10717" w:type="dxa"/>
            <w:gridSpan w:val="9"/>
          </w:tcPr>
          <w:p>
     </w:p>
        </w:tc>
      </w:tr>
      <w:tr>
        <w:trPr>
          <w:trHeight w:hRule="exact" w:val="230"/>
        </w:trPr>
        <w:tc>
          <w:tcPr>
            <w:tcW w:w="4055" w:type="dxa"/>
            <w:gridSpan w:val="3"/>
            <w:vAlign w:val="bottom"/>
            <w:shd w:val="clear" w:color="auto" w:fill="FFFFFF"/>
          </w:tcPr>
          <w:p>
            <w:pPr>
              <w:spacing w:line="232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PRONIM CP - Contabilidade Pública</w:t>
            </w:r>
          </w:p>
        </w:tc>
        <w:tc>
          <w:tcPr>
            <w:tcW w:w="4857" w:type="dxa"/>
            <w:gridSpan w:val="5"/>
          </w:tcPr>
          <w:p>
     </w:p>
        </w:tc>
        <w:tc>
          <w:tcPr>
            <w:tcW w:w="1805" w:type="dxa"/>
            <w:vAlign w:val="bottom"/>
            <w:shd w:val="clear" w:color="auto" w:fill="FFFFFF"/>
          </w:tcPr>
          <w:p>
            <w:pPr>
              <w:spacing w:line="232"/>
              <w:jc w:val="right"/>
              <w:rPr>
                <w:rFonts w:ascii="Arial" w:hAnsi="Arial" w:cs="Arial"/>
                <w:color w:val="000000"/>
                <w:sz w:val="12"/>
                <w:spacing w:val="-2"/>
              </w:rPr>
            </w:pPr>
            <w:r>
              <w:rPr>
                <w:rFonts w:ascii="Arial" w:hAnsi="Arial" w:cs="Arial"/>
                <w:color w:val="000000"/>
                <w:sz w:val="12"/>
                <w:spacing w:val="-2"/>
              </w:rPr>
              <w:t xml:space="preserve">Emitido em: 16/10/2018 10:30:37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</w:font>
  <w:font w:name="Cambria">
 </w:font>
  <w:font w:name="Arial">
 </w:font>
  <w:font w:name="Lucida Console">
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 <Relationship Id="rId1" Type="http://schemas.openxmlformats.org/officeDocument/2006/relationships/styles" Target="styles.xml" />
 <Relationship Id="rId2" Type="http://schemas.openxmlformats.org/officeDocument/2006/relationships/settings" Target="settings.xml" />
 <Relationship Id="rId3" Type="http://schemas.openxmlformats.org/officeDocument/2006/relationships/webSettings" Target="webSettings.xml" />
 <Relationship Id="rId4" Type="http://schemas.openxmlformats.org/officeDocument/2006/relationships/fontTable" Target="fontTable.xml" 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Stimulsoft Reports 2012.2.1400 from 13 September 2012</cp:lastModifiedBy>
  <cp:revision>1</cp:revision>
  <dcterms:created xsi:type="dcterms:W3CDTF">2018-10-16T10:31:53Z</dcterms:created>
  <dcterms:modified xsi:type="dcterms:W3CDTF">2018-10-16T10:31:53Z</dcterms:modified>
</cp:coreProperties>
</file>