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F7" w:rsidRPr="0004208F" w:rsidRDefault="008814F7" w:rsidP="008814F7">
      <w:pPr>
        <w:pStyle w:val="Ttulo"/>
        <w:tabs>
          <w:tab w:val="left" w:pos="653"/>
        </w:tabs>
        <w:jc w:val="both"/>
        <w:rPr>
          <w:sz w:val="24"/>
          <w:szCs w:val="24"/>
          <w:u w:val="single"/>
        </w:rPr>
      </w:pPr>
      <w:r w:rsidRPr="0004208F">
        <w:rPr>
          <w:sz w:val="24"/>
          <w:szCs w:val="24"/>
          <w:u w:val="single"/>
        </w:rPr>
        <w:t xml:space="preserve">RELATÓRIO </w:t>
      </w:r>
      <w:proofErr w:type="gramStart"/>
      <w:r w:rsidRPr="0004208F">
        <w:rPr>
          <w:sz w:val="24"/>
          <w:szCs w:val="24"/>
          <w:u w:val="single"/>
        </w:rPr>
        <w:t>E  PARECER</w:t>
      </w:r>
      <w:proofErr w:type="gramEnd"/>
      <w:r w:rsidRPr="0004208F">
        <w:rPr>
          <w:sz w:val="24"/>
          <w:szCs w:val="24"/>
          <w:u w:val="single"/>
        </w:rPr>
        <w:t xml:space="preserve">   </w:t>
      </w:r>
    </w:p>
    <w:p w:rsidR="008814F7" w:rsidRPr="0004208F" w:rsidRDefault="008814F7" w:rsidP="008814F7">
      <w:pPr>
        <w:pStyle w:val="Ttulo"/>
        <w:tabs>
          <w:tab w:val="left" w:pos="653"/>
        </w:tabs>
        <w:jc w:val="both"/>
        <w:rPr>
          <w:sz w:val="24"/>
          <w:szCs w:val="24"/>
          <w:u w:val="single"/>
        </w:rPr>
      </w:pPr>
      <w:r w:rsidRPr="0004208F">
        <w:rPr>
          <w:sz w:val="24"/>
          <w:szCs w:val="24"/>
          <w:u w:val="single"/>
        </w:rPr>
        <w:t xml:space="preserve">CONTROLE </w:t>
      </w:r>
      <w:proofErr w:type="gramStart"/>
      <w:r w:rsidRPr="0004208F">
        <w:rPr>
          <w:sz w:val="24"/>
          <w:szCs w:val="24"/>
          <w:u w:val="single"/>
        </w:rPr>
        <w:t>INTERNO  EXERCÍCIO</w:t>
      </w:r>
      <w:proofErr w:type="gramEnd"/>
      <w:r w:rsidRPr="0004208F">
        <w:rPr>
          <w:sz w:val="24"/>
          <w:szCs w:val="24"/>
          <w:u w:val="single"/>
        </w:rPr>
        <w:t xml:space="preserve"> 201</w:t>
      </w:r>
      <w:r w:rsidR="00ED20AA">
        <w:rPr>
          <w:sz w:val="24"/>
          <w:szCs w:val="24"/>
          <w:u w:val="single"/>
        </w:rPr>
        <w:t>9</w:t>
      </w:r>
      <w:r w:rsidRPr="0004208F">
        <w:rPr>
          <w:sz w:val="24"/>
          <w:szCs w:val="24"/>
          <w:u w:val="single"/>
        </w:rPr>
        <w:t>.</w:t>
      </w:r>
    </w:p>
    <w:p w:rsidR="008814F7" w:rsidRPr="0004208F" w:rsidRDefault="008814F7" w:rsidP="008814F7">
      <w:pPr>
        <w:pStyle w:val="Ttulo"/>
        <w:tabs>
          <w:tab w:val="left" w:pos="653"/>
        </w:tabs>
        <w:jc w:val="both"/>
        <w:rPr>
          <w:sz w:val="24"/>
          <w:szCs w:val="24"/>
          <w:u w:val="single"/>
        </w:rPr>
      </w:pPr>
    </w:p>
    <w:p w:rsidR="008814F7" w:rsidRPr="0004208F" w:rsidRDefault="008814F7" w:rsidP="008814F7">
      <w:pPr>
        <w:spacing w:before="100" w:beforeAutospacing="1" w:after="120"/>
        <w:ind w:firstLine="708"/>
        <w:jc w:val="both"/>
        <w:rPr>
          <w:sz w:val="24"/>
          <w:szCs w:val="24"/>
        </w:rPr>
      </w:pPr>
      <w:r w:rsidRPr="0004208F">
        <w:rPr>
          <w:sz w:val="24"/>
          <w:szCs w:val="24"/>
        </w:rPr>
        <w:t>Na condição de coordenador da Unidade Central de Controle Interno – UCCI, da Prefeitura Municipal de</w:t>
      </w:r>
      <w:r>
        <w:rPr>
          <w:sz w:val="24"/>
          <w:szCs w:val="24"/>
        </w:rPr>
        <w:t xml:space="preserve"> São José do Herval – RS, designado temporariamente pela portaria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006/2018 de 17 de janeiro de 2018</w:t>
      </w:r>
      <w:r w:rsidRPr="0004208F">
        <w:rPr>
          <w:sz w:val="24"/>
          <w:szCs w:val="24"/>
        </w:rPr>
        <w:t>. Relatamos as atividades realizadas no exercício de 201</w:t>
      </w:r>
      <w:r w:rsidR="007B3231">
        <w:rPr>
          <w:sz w:val="24"/>
          <w:szCs w:val="24"/>
        </w:rPr>
        <w:t>8</w:t>
      </w:r>
      <w:r w:rsidRPr="0004208F">
        <w:rPr>
          <w:sz w:val="24"/>
          <w:szCs w:val="24"/>
        </w:rPr>
        <w:t>, de modo a evidenciar o funcionamento desta unidade.</w:t>
      </w:r>
    </w:p>
    <w:p w:rsidR="008814F7" w:rsidRPr="0004208F" w:rsidRDefault="008814F7" w:rsidP="008814F7">
      <w:pPr>
        <w:spacing w:before="100" w:beforeAutospacing="1" w:after="120"/>
        <w:ind w:firstLine="708"/>
        <w:jc w:val="both"/>
        <w:rPr>
          <w:sz w:val="24"/>
          <w:szCs w:val="24"/>
        </w:rPr>
      </w:pPr>
      <w:r w:rsidRPr="0004208F">
        <w:rPr>
          <w:sz w:val="24"/>
          <w:szCs w:val="24"/>
        </w:rPr>
        <w:t>Durante o ano</w:t>
      </w:r>
      <w:r w:rsidR="00ED20AA">
        <w:rPr>
          <w:sz w:val="24"/>
          <w:szCs w:val="24"/>
        </w:rPr>
        <w:t xml:space="preserve"> de 2019</w:t>
      </w:r>
      <w:r w:rsidRPr="0004208F">
        <w:rPr>
          <w:sz w:val="24"/>
          <w:szCs w:val="24"/>
        </w:rPr>
        <w:t xml:space="preserve"> foram realizados </w:t>
      </w:r>
      <w:proofErr w:type="gramStart"/>
      <w:r w:rsidRPr="0004208F">
        <w:rPr>
          <w:sz w:val="24"/>
          <w:szCs w:val="24"/>
        </w:rPr>
        <w:t>auditorias,  e</w:t>
      </w:r>
      <w:proofErr w:type="gramEnd"/>
      <w:r w:rsidRPr="0004208F">
        <w:rPr>
          <w:sz w:val="24"/>
          <w:szCs w:val="24"/>
        </w:rPr>
        <w:t xml:space="preserve"> recomendações a Administração Municipal. A unidade também realizou as manifestações do controle interno as quais foram enviadas ao TCE-RS, no primeiro e segundo semestres de 201</w:t>
      </w:r>
      <w:r w:rsidR="009E4510">
        <w:rPr>
          <w:sz w:val="24"/>
          <w:szCs w:val="24"/>
        </w:rPr>
        <w:t>8</w:t>
      </w:r>
      <w:r w:rsidRPr="0004208F">
        <w:rPr>
          <w:sz w:val="24"/>
          <w:szCs w:val="24"/>
        </w:rPr>
        <w:t>, bem como acompanha diariamente o sitio eletrônico deste TCE, para atender as demandas no espaço do controle interno. As documentações quando solicitadas pelo TCE</w:t>
      </w:r>
      <w:r w:rsidR="009E4510">
        <w:rPr>
          <w:sz w:val="24"/>
          <w:szCs w:val="24"/>
        </w:rPr>
        <w:t>-</w:t>
      </w:r>
      <w:r w:rsidRPr="0004208F">
        <w:rPr>
          <w:sz w:val="24"/>
          <w:szCs w:val="24"/>
        </w:rPr>
        <w:t>RS foram encaminhadas dentro do prazo.</w:t>
      </w:r>
    </w:p>
    <w:p w:rsidR="008814F7" w:rsidRPr="0004208F" w:rsidRDefault="008814F7" w:rsidP="008814F7">
      <w:pPr>
        <w:spacing w:before="100" w:beforeAutospacing="1" w:after="120"/>
        <w:ind w:firstLine="708"/>
        <w:jc w:val="both"/>
        <w:rPr>
          <w:sz w:val="24"/>
          <w:szCs w:val="24"/>
        </w:rPr>
      </w:pPr>
      <w:r w:rsidRPr="0004208F">
        <w:rPr>
          <w:sz w:val="24"/>
          <w:szCs w:val="24"/>
        </w:rPr>
        <w:t>Durante o exercício de 201</w:t>
      </w:r>
      <w:r w:rsidR="007B3231">
        <w:rPr>
          <w:sz w:val="24"/>
          <w:szCs w:val="24"/>
        </w:rPr>
        <w:t>8</w:t>
      </w:r>
      <w:r w:rsidRPr="0004208F">
        <w:rPr>
          <w:sz w:val="24"/>
          <w:szCs w:val="24"/>
        </w:rPr>
        <w:t xml:space="preserve">, foram apuradas as denúncias que vieram até esta Unidade nos prazos previstos. A Unidade Central de Controle Interno, possui manual de auditoria interna, em forma de instrução normativa, baseado na lei municipal n° 1347/2013 de 11 de junho de 2013, onde entrou em vigor o decreto n° 19/2013 para regulamentar tal lei. </w:t>
      </w:r>
    </w:p>
    <w:p w:rsidR="008814F7" w:rsidRPr="0004208F" w:rsidRDefault="008814F7" w:rsidP="008814F7">
      <w:pPr>
        <w:spacing w:before="100" w:beforeAutospacing="1" w:after="120"/>
        <w:ind w:firstLine="708"/>
        <w:jc w:val="both"/>
        <w:rPr>
          <w:sz w:val="24"/>
          <w:szCs w:val="24"/>
        </w:rPr>
      </w:pPr>
      <w:r w:rsidRPr="0004208F">
        <w:rPr>
          <w:sz w:val="24"/>
          <w:szCs w:val="24"/>
        </w:rPr>
        <w:t>Com isso, esta Unidade de Central de Controle interno, foi aprimorando seu trabalho durante o exercício de 201</w:t>
      </w:r>
      <w:r w:rsidR="007B3231">
        <w:rPr>
          <w:sz w:val="24"/>
          <w:szCs w:val="24"/>
        </w:rPr>
        <w:t>8</w:t>
      </w:r>
      <w:r w:rsidRPr="0004208F">
        <w:rPr>
          <w:sz w:val="24"/>
          <w:szCs w:val="24"/>
        </w:rPr>
        <w:t>. Atua de forma integral, baseado nas legislações municipais, e também na resolução 936/2012 do TCE-RS, buscando a transparência e a efetividade da Administração Pública Municipal.</w:t>
      </w:r>
    </w:p>
    <w:p w:rsidR="008814F7" w:rsidRPr="0004208F" w:rsidRDefault="008814F7" w:rsidP="008814F7">
      <w:pPr>
        <w:pStyle w:val="Ttulo"/>
        <w:tabs>
          <w:tab w:val="left" w:pos="653"/>
        </w:tabs>
        <w:jc w:val="both"/>
        <w:rPr>
          <w:sz w:val="24"/>
          <w:szCs w:val="24"/>
          <w:u w:val="single"/>
        </w:rPr>
      </w:pPr>
    </w:p>
    <w:p w:rsidR="008814F7" w:rsidRPr="0004208F" w:rsidRDefault="008814F7" w:rsidP="008814F7">
      <w:pPr>
        <w:pStyle w:val="Ttulo"/>
        <w:tabs>
          <w:tab w:val="left" w:pos="653"/>
        </w:tabs>
        <w:jc w:val="both"/>
        <w:rPr>
          <w:sz w:val="24"/>
          <w:szCs w:val="24"/>
          <w:u w:val="single"/>
        </w:rPr>
      </w:pPr>
    </w:p>
    <w:p w:rsidR="008814F7" w:rsidRPr="0004208F" w:rsidRDefault="008814F7" w:rsidP="008814F7">
      <w:pPr>
        <w:pStyle w:val="Ttulo"/>
        <w:tabs>
          <w:tab w:val="left" w:pos="653"/>
        </w:tabs>
        <w:jc w:val="both"/>
        <w:rPr>
          <w:sz w:val="24"/>
          <w:szCs w:val="24"/>
          <w:u w:val="single"/>
        </w:rPr>
      </w:pPr>
    </w:p>
    <w:p w:rsidR="008814F7" w:rsidRPr="0004208F" w:rsidRDefault="008814F7" w:rsidP="008814F7">
      <w:pPr>
        <w:pStyle w:val="Ttulo"/>
        <w:tabs>
          <w:tab w:val="left" w:pos="653"/>
        </w:tabs>
        <w:jc w:val="both"/>
        <w:rPr>
          <w:sz w:val="24"/>
          <w:szCs w:val="24"/>
          <w:u w:val="single"/>
        </w:rPr>
      </w:pPr>
    </w:p>
    <w:p w:rsidR="008814F7" w:rsidRPr="0004208F" w:rsidRDefault="008814F7" w:rsidP="008814F7">
      <w:pPr>
        <w:pStyle w:val="Ttulo"/>
        <w:tabs>
          <w:tab w:val="left" w:pos="653"/>
        </w:tabs>
        <w:jc w:val="both"/>
        <w:rPr>
          <w:sz w:val="24"/>
          <w:szCs w:val="24"/>
          <w:u w:val="single"/>
        </w:rPr>
      </w:pPr>
    </w:p>
    <w:p w:rsidR="008814F7" w:rsidRPr="0004208F" w:rsidRDefault="008814F7" w:rsidP="008814F7">
      <w:pPr>
        <w:pStyle w:val="Ttulo"/>
        <w:tabs>
          <w:tab w:val="left" w:pos="653"/>
        </w:tabs>
        <w:jc w:val="both"/>
        <w:rPr>
          <w:sz w:val="24"/>
          <w:szCs w:val="24"/>
          <w:u w:val="single"/>
        </w:rPr>
      </w:pPr>
    </w:p>
    <w:p w:rsidR="008814F7" w:rsidRPr="0004208F" w:rsidRDefault="008814F7" w:rsidP="008814F7">
      <w:pPr>
        <w:pStyle w:val="Ttulo"/>
        <w:tabs>
          <w:tab w:val="left" w:pos="653"/>
        </w:tabs>
        <w:jc w:val="both"/>
        <w:rPr>
          <w:sz w:val="24"/>
          <w:szCs w:val="24"/>
          <w:u w:val="single"/>
        </w:rPr>
      </w:pPr>
    </w:p>
    <w:p w:rsidR="008814F7" w:rsidRPr="0004208F" w:rsidRDefault="008814F7" w:rsidP="008814F7">
      <w:pPr>
        <w:pStyle w:val="Ttulo"/>
        <w:tabs>
          <w:tab w:val="left" w:pos="653"/>
        </w:tabs>
        <w:jc w:val="both"/>
        <w:rPr>
          <w:sz w:val="24"/>
          <w:szCs w:val="24"/>
          <w:u w:val="single"/>
        </w:rPr>
      </w:pPr>
    </w:p>
    <w:p w:rsidR="008814F7" w:rsidRPr="0004208F" w:rsidRDefault="008814F7" w:rsidP="008814F7">
      <w:pPr>
        <w:pStyle w:val="Ttulo"/>
        <w:tabs>
          <w:tab w:val="left" w:pos="653"/>
        </w:tabs>
        <w:jc w:val="both"/>
        <w:rPr>
          <w:sz w:val="24"/>
          <w:szCs w:val="24"/>
          <w:u w:val="single"/>
        </w:rPr>
      </w:pPr>
    </w:p>
    <w:p w:rsidR="008814F7" w:rsidRPr="0004208F" w:rsidRDefault="008814F7" w:rsidP="008814F7">
      <w:pPr>
        <w:pStyle w:val="Ttulo"/>
        <w:tabs>
          <w:tab w:val="left" w:pos="653"/>
        </w:tabs>
        <w:jc w:val="both"/>
        <w:rPr>
          <w:sz w:val="24"/>
          <w:szCs w:val="24"/>
          <w:u w:val="single"/>
        </w:rPr>
      </w:pPr>
    </w:p>
    <w:p w:rsidR="008814F7" w:rsidRPr="0004208F" w:rsidRDefault="008814F7" w:rsidP="008814F7">
      <w:pPr>
        <w:pStyle w:val="Ttulo"/>
        <w:tabs>
          <w:tab w:val="left" w:pos="653"/>
        </w:tabs>
        <w:jc w:val="both"/>
        <w:rPr>
          <w:sz w:val="24"/>
          <w:szCs w:val="24"/>
          <w:u w:val="single"/>
        </w:rPr>
      </w:pPr>
    </w:p>
    <w:p w:rsidR="008814F7" w:rsidRPr="0004208F" w:rsidRDefault="008814F7" w:rsidP="008814F7">
      <w:pPr>
        <w:tabs>
          <w:tab w:val="left" w:pos="3402"/>
        </w:tabs>
        <w:spacing w:before="120" w:line="360" w:lineRule="auto"/>
        <w:ind w:firstLine="1134"/>
        <w:jc w:val="both"/>
        <w:rPr>
          <w:b/>
          <w:color w:val="000000"/>
          <w:sz w:val="24"/>
          <w:szCs w:val="24"/>
        </w:rPr>
      </w:pPr>
    </w:p>
    <w:p w:rsidR="008814F7" w:rsidRPr="0004208F" w:rsidRDefault="008814F7" w:rsidP="008814F7">
      <w:pPr>
        <w:tabs>
          <w:tab w:val="left" w:pos="3402"/>
        </w:tabs>
        <w:spacing w:before="120" w:line="360" w:lineRule="auto"/>
        <w:ind w:firstLine="1134"/>
        <w:jc w:val="both"/>
        <w:rPr>
          <w:b/>
          <w:color w:val="000000"/>
          <w:sz w:val="24"/>
          <w:szCs w:val="24"/>
        </w:rPr>
      </w:pPr>
      <w:r w:rsidRPr="0004208F">
        <w:rPr>
          <w:b/>
          <w:color w:val="000000"/>
          <w:sz w:val="24"/>
          <w:szCs w:val="24"/>
        </w:rPr>
        <w:t>1) OPERAÇÕES DE CRÉDITO:</w:t>
      </w:r>
    </w:p>
    <w:p w:rsidR="008814F7" w:rsidRPr="0004208F" w:rsidRDefault="008814F7" w:rsidP="008814F7">
      <w:pPr>
        <w:pStyle w:val="Corpodetexto"/>
        <w:tabs>
          <w:tab w:val="left" w:pos="4253"/>
        </w:tabs>
        <w:ind w:firstLine="1134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 xml:space="preserve">O </w:t>
      </w:r>
      <w:proofErr w:type="gramStart"/>
      <w:r w:rsidRPr="0004208F">
        <w:rPr>
          <w:color w:val="000000"/>
          <w:sz w:val="24"/>
          <w:szCs w:val="24"/>
        </w:rPr>
        <w:t>Município  não</w:t>
      </w:r>
      <w:proofErr w:type="gramEnd"/>
      <w:r w:rsidRPr="0004208F">
        <w:rPr>
          <w:color w:val="000000"/>
          <w:sz w:val="24"/>
          <w:szCs w:val="24"/>
        </w:rPr>
        <w:t xml:space="preserve">  realizou operação de crédito no exercício de 201</w:t>
      </w:r>
      <w:r w:rsidR="00ED20AA">
        <w:rPr>
          <w:color w:val="000000"/>
          <w:sz w:val="24"/>
          <w:szCs w:val="24"/>
        </w:rPr>
        <w:t>9</w:t>
      </w:r>
      <w:r w:rsidRPr="0004208F">
        <w:rPr>
          <w:color w:val="000000"/>
          <w:sz w:val="24"/>
          <w:szCs w:val="24"/>
        </w:rPr>
        <w:t>.</w:t>
      </w:r>
    </w:p>
    <w:p w:rsidR="008814F7" w:rsidRPr="0004208F" w:rsidRDefault="008814F7" w:rsidP="008814F7">
      <w:pPr>
        <w:autoSpaceDE w:val="0"/>
        <w:autoSpaceDN w:val="0"/>
        <w:adjustRightInd w:val="0"/>
        <w:ind w:left="1134"/>
        <w:jc w:val="both"/>
        <w:rPr>
          <w:b/>
          <w:bCs/>
          <w:color w:val="000000"/>
          <w:sz w:val="24"/>
          <w:szCs w:val="24"/>
        </w:rPr>
      </w:pPr>
      <w:r w:rsidRPr="0004208F">
        <w:rPr>
          <w:b/>
          <w:bCs/>
          <w:color w:val="000000"/>
          <w:sz w:val="24"/>
          <w:szCs w:val="24"/>
        </w:rPr>
        <w:t>2) OPERAÇÕES DE CRÉDITO POR ANTECIPAÇÃO DE RECEITA - (ARO):</w:t>
      </w:r>
    </w:p>
    <w:p w:rsidR="008814F7" w:rsidRPr="0004208F" w:rsidRDefault="008814F7" w:rsidP="008814F7">
      <w:pPr>
        <w:autoSpaceDE w:val="0"/>
        <w:autoSpaceDN w:val="0"/>
        <w:adjustRightInd w:val="0"/>
        <w:ind w:left="708" w:firstLine="426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>O Município não realizou operações de crédito por antecipação da receita orçamentária no exercício de 201</w:t>
      </w:r>
      <w:r w:rsidR="00ED20AA">
        <w:rPr>
          <w:color w:val="000000"/>
          <w:sz w:val="24"/>
          <w:szCs w:val="24"/>
        </w:rPr>
        <w:t>9</w:t>
      </w:r>
      <w:r w:rsidRPr="0004208F">
        <w:rPr>
          <w:color w:val="000000"/>
          <w:sz w:val="24"/>
          <w:szCs w:val="24"/>
        </w:rPr>
        <w:t>.</w:t>
      </w:r>
    </w:p>
    <w:p w:rsidR="008814F7" w:rsidRPr="0004208F" w:rsidRDefault="008814F7" w:rsidP="008814F7">
      <w:pPr>
        <w:pStyle w:val="Corpodetexto"/>
        <w:tabs>
          <w:tab w:val="left" w:pos="4253"/>
        </w:tabs>
        <w:ind w:firstLine="1134"/>
        <w:rPr>
          <w:b/>
          <w:color w:val="000000"/>
          <w:sz w:val="24"/>
          <w:szCs w:val="24"/>
        </w:rPr>
      </w:pPr>
      <w:r w:rsidRPr="0004208F">
        <w:rPr>
          <w:b/>
          <w:color w:val="000000"/>
          <w:sz w:val="24"/>
          <w:szCs w:val="24"/>
        </w:rPr>
        <w:t xml:space="preserve">3) RESTOS A PAGAR: </w:t>
      </w:r>
    </w:p>
    <w:p w:rsidR="008814F7" w:rsidRPr="0004208F" w:rsidRDefault="008814F7" w:rsidP="008814F7">
      <w:pPr>
        <w:pStyle w:val="Corpodetexto"/>
        <w:tabs>
          <w:tab w:val="left" w:pos="4253"/>
        </w:tabs>
        <w:ind w:firstLine="1134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 xml:space="preserve">Abaixo quadro demonstrando os empenhos, do exercício de </w:t>
      </w:r>
      <w:proofErr w:type="gramStart"/>
      <w:r w:rsidRPr="0004208F">
        <w:rPr>
          <w:color w:val="000000"/>
          <w:sz w:val="24"/>
          <w:szCs w:val="24"/>
        </w:rPr>
        <w:t>201</w:t>
      </w:r>
      <w:r w:rsidR="00ED20AA">
        <w:rPr>
          <w:color w:val="000000"/>
          <w:sz w:val="24"/>
          <w:szCs w:val="24"/>
        </w:rPr>
        <w:t xml:space="preserve">9, </w:t>
      </w:r>
      <w:r w:rsidRPr="0004208F">
        <w:rPr>
          <w:color w:val="000000"/>
          <w:sz w:val="24"/>
          <w:szCs w:val="24"/>
        </w:rPr>
        <w:t xml:space="preserve"> processados</w:t>
      </w:r>
      <w:proofErr w:type="gramEnd"/>
      <w:r w:rsidRPr="0004208F">
        <w:rPr>
          <w:color w:val="000000"/>
          <w:sz w:val="24"/>
          <w:szCs w:val="24"/>
        </w:rPr>
        <w:t xml:space="preserve"> e liquidados e não processados.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2"/>
        <w:gridCol w:w="1656"/>
        <w:gridCol w:w="1604"/>
        <w:gridCol w:w="1524"/>
        <w:gridCol w:w="1638"/>
      </w:tblGrid>
      <w:tr w:rsidR="00ED20AA" w:rsidRPr="0004208F" w:rsidTr="00ED20AA">
        <w:tc>
          <w:tcPr>
            <w:tcW w:w="2190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 w:rsidRPr="0004208F">
              <w:rPr>
                <w:b/>
                <w:color w:val="000000"/>
                <w:sz w:val="24"/>
                <w:szCs w:val="24"/>
              </w:rPr>
              <w:t>RECURSO</w:t>
            </w:r>
          </w:p>
        </w:tc>
        <w:tc>
          <w:tcPr>
            <w:tcW w:w="1719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 w:rsidRPr="0004208F">
              <w:rPr>
                <w:b/>
                <w:color w:val="000000"/>
                <w:sz w:val="24"/>
                <w:szCs w:val="24"/>
              </w:rPr>
              <w:t>DISPON. 31/12</w:t>
            </w:r>
          </w:p>
        </w:tc>
        <w:tc>
          <w:tcPr>
            <w:tcW w:w="1658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 w:rsidRPr="0004208F">
              <w:rPr>
                <w:b/>
                <w:color w:val="000000"/>
                <w:sz w:val="24"/>
                <w:szCs w:val="24"/>
              </w:rPr>
              <w:t>A PAGAR 31/12</w:t>
            </w:r>
          </w:p>
        </w:tc>
        <w:tc>
          <w:tcPr>
            <w:tcW w:w="1208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Consignados</w:t>
            </w:r>
          </w:p>
        </w:tc>
        <w:tc>
          <w:tcPr>
            <w:tcW w:w="1719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 w:rsidRPr="0004208F">
              <w:rPr>
                <w:b/>
                <w:color w:val="000000"/>
                <w:sz w:val="24"/>
                <w:szCs w:val="24"/>
              </w:rPr>
              <w:t>SALDO</w:t>
            </w:r>
          </w:p>
        </w:tc>
      </w:tr>
      <w:tr w:rsidR="00ED20AA" w:rsidRPr="0004208F" w:rsidTr="00ED20AA">
        <w:tc>
          <w:tcPr>
            <w:tcW w:w="2190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 w:rsidRPr="0004208F">
              <w:rPr>
                <w:b/>
                <w:color w:val="000000"/>
                <w:sz w:val="24"/>
                <w:szCs w:val="24"/>
              </w:rPr>
              <w:t>0001 LIVRE</w:t>
            </w:r>
          </w:p>
        </w:tc>
        <w:tc>
          <w:tcPr>
            <w:tcW w:w="1719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143.186,12</w:t>
            </w:r>
          </w:p>
        </w:tc>
        <w:tc>
          <w:tcPr>
            <w:tcW w:w="1658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65.290,46</w:t>
            </w:r>
          </w:p>
        </w:tc>
        <w:tc>
          <w:tcPr>
            <w:tcW w:w="1208" w:type="dxa"/>
          </w:tcPr>
          <w:p w:rsidR="00ED20AA" w:rsidRPr="0004208F" w:rsidRDefault="009D3835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40.948,97</w:t>
            </w:r>
          </w:p>
        </w:tc>
        <w:tc>
          <w:tcPr>
            <w:tcW w:w="1719" w:type="dxa"/>
          </w:tcPr>
          <w:p w:rsidR="00ED20AA" w:rsidRPr="0004208F" w:rsidRDefault="009D3835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36.946,69</w:t>
            </w:r>
          </w:p>
        </w:tc>
      </w:tr>
      <w:tr w:rsidR="00ED20AA" w:rsidRPr="0004208F" w:rsidTr="00ED20AA">
        <w:tc>
          <w:tcPr>
            <w:tcW w:w="2190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 w:rsidRPr="0004208F">
              <w:rPr>
                <w:b/>
                <w:color w:val="000000"/>
                <w:sz w:val="24"/>
                <w:szCs w:val="24"/>
              </w:rPr>
              <w:t>40 ASPS</w:t>
            </w:r>
          </w:p>
        </w:tc>
        <w:tc>
          <w:tcPr>
            <w:tcW w:w="1719" w:type="dxa"/>
          </w:tcPr>
          <w:p w:rsidR="00ED20AA" w:rsidRPr="0004208F" w:rsidRDefault="009D3835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18.431,04</w:t>
            </w:r>
          </w:p>
        </w:tc>
        <w:tc>
          <w:tcPr>
            <w:tcW w:w="1658" w:type="dxa"/>
          </w:tcPr>
          <w:p w:rsidR="00ED20AA" w:rsidRPr="0004208F" w:rsidRDefault="009D3835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6.587,20</w:t>
            </w:r>
          </w:p>
        </w:tc>
        <w:tc>
          <w:tcPr>
            <w:tcW w:w="1208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ED20AA" w:rsidRPr="0004208F" w:rsidRDefault="009D3835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11.843,84</w:t>
            </w:r>
          </w:p>
        </w:tc>
      </w:tr>
      <w:tr w:rsidR="00ED20AA" w:rsidRPr="0004208F" w:rsidTr="00ED20AA">
        <w:tc>
          <w:tcPr>
            <w:tcW w:w="2190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 w:rsidRPr="0004208F">
              <w:rPr>
                <w:b/>
                <w:color w:val="000000"/>
                <w:sz w:val="24"/>
                <w:szCs w:val="24"/>
              </w:rPr>
              <w:t>0001 LIVRE CAMARA</w:t>
            </w:r>
          </w:p>
        </w:tc>
        <w:tc>
          <w:tcPr>
            <w:tcW w:w="1719" w:type="dxa"/>
          </w:tcPr>
          <w:p w:rsidR="00ED20AA" w:rsidRPr="0004208F" w:rsidRDefault="009D3835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4.341,20</w:t>
            </w:r>
          </w:p>
        </w:tc>
        <w:tc>
          <w:tcPr>
            <w:tcW w:w="1658" w:type="dxa"/>
          </w:tcPr>
          <w:p w:rsidR="00ED20AA" w:rsidRPr="0004208F" w:rsidRDefault="009D3835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ED20AA" w:rsidRPr="0004208F" w:rsidRDefault="009D3835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4.341,20</w:t>
            </w:r>
          </w:p>
        </w:tc>
      </w:tr>
      <w:tr w:rsidR="00ED20AA" w:rsidRPr="0004208F" w:rsidTr="00ED20AA">
        <w:tc>
          <w:tcPr>
            <w:tcW w:w="2190" w:type="dxa"/>
          </w:tcPr>
          <w:p w:rsidR="00ED20AA" w:rsidRPr="0004208F" w:rsidRDefault="009D3835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1002 Sal. Educação</w:t>
            </w:r>
          </w:p>
        </w:tc>
        <w:tc>
          <w:tcPr>
            <w:tcW w:w="1719" w:type="dxa"/>
          </w:tcPr>
          <w:p w:rsidR="00ED20AA" w:rsidRPr="0004208F" w:rsidRDefault="009D3835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57.920,24</w:t>
            </w:r>
          </w:p>
        </w:tc>
        <w:tc>
          <w:tcPr>
            <w:tcW w:w="1658" w:type="dxa"/>
          </w:tcPr>
          <w:p w:rsidR="00ED20AA" w:rsidRPr="0004208F" w:rsidRDefault="009D3835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35.454,50</w:t>
            </w:r>
          </w:p>
        </w:tc>
        <w:tc>
          <w:tcPr>
            <w:tcW w:w="1208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ED20AA" w:rsidRPr="0004208F" w:rsidRDefault="009D3835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22.465,74</w:t>
            </w:r>
          </w:p>
        </w:tc>
      </w:tr>
      <w:tr w:rsidR="00ED20AA" w:rsidRPr="0004208F" w:rsidTr="00ED20AA">
        <w:tc>
          <w:tcPr>
            <w:tcW w:w="2190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 w:rsidRPr="0004208F">
              <w:rPr>
                <w:b/>
                <w:color w:val="000000"/>
                <w:sz w:val="24"/>
                <w:szCs w:val="24"/>
              </w:rPr>
              <w:t>20 MDE</w:t>
            </w:r>
          </w:p>
        </w:tc>
        <w:tc>
          <w:tcPr>
            <w:tcW w:w="1719" w:type="dxa"/>
          </w:tcPr>
          <w:p w:rsidR="00ED20AA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6.116,38</w:t>
            </w:r>
          </w:p>
        </w:tc>
        <w:tc>
          <w:tcPr>
            <w:tcW w:w="1658" w:type="dxa"/>
          </w:tcPr>
          <w:p w:rsidR="00ED20AA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08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ED20AA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5.616,38</w:t>
            </w:r>
          </w:p>
        </w:tc>
      </w:tr>
      <w:tr w:rsidR="00ED20AA" w:rsidRPr="0004208F" w:rsidTr="00ED20AA">
        <w:tc>
          <w:tcPr>
            <w:tcW w:w="2190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 w:rsidRPr="0004208F">
              <w:rPr>
                <w:b/>
                <w:color w:val="000000"/>
                <w:sz w:val="24"/>
                <w:szCs w:val="24"/>
              </w:rPr>
              <w:t>31 FUNDEB</w:t>
            </w:r>
          </w:p>
        </w:tc>
        <w:tc>
          <w:tcPr>
            <w:tcW w:w="1719" w:type="dxa"/>
          </w:tcPr>
          <w:p w:rsidR="00ED20AA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11.624,89</w:t>
            </w:r>
          </w:p>
        </w:tc>
        <w:tc>
          <w:tcPr>
            <w:tcW w:w="1658" w:type="dxa"/>
          </w:tcPr>
          <w:p w:rsidR="00ED20AA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7.032,23</w:t>
            </w:r>
          </w:p>
        </w:tc>
        <w:tc>
          <w:tcPr>
            <w:tcW w:w="1208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ED20AA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4.592,66</w:t>
            </w:r>
          </w:p>
        </w:tc>
      </w:tr>
      <w:tr w:rsidR="00ED20AA" w:rsidRPr="0004208F" w:rsidTr="00ED20AA">
        <w:tc>
          <w:tcPr>
            <w:tcW w:w="2190" w:type="dxa"/>
          </w:tcPr>
          <w:p w:rsidR="00ED20AA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719" w:type="dxa"/>
          </w:tcPr>
          <w:p w:rsidR="00ED20AA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20.668,94</w:t>
            </w:r>
          </w:p>
        </w:tc>
        <w:tc>
          <w:tcPr>
            <w:tcW w:w="1658" w:type="dxa"/>
          </w:tcPr>
          <w:p w:rsidR="00ED20AA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13.627,70</w:t>
            </w:r>
          </w:p>
        </w:tc>
        <w:tc>
          <w:tcPr>
            <w:tcW w:w="1208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ED20AA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7.041,24</w:t>
            </w:r>
          </w:p>
        </w:tc>
      </w:tr>
      <w:tr w:rsidR="00ED20AA" w:rsidRPr="0004208F" w:rsidTr="00ED20AA">
        <w:tc>
          <w:tcPr>
            <w:tcW w:w="2190" w:type="dxa"/>
          </w:tcPr>
          <w:p w:rsidR="00ED20AA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4502</w:t>
            </w:r>
          </w:p>
        </w:tc>
        <w:tc>
          <w:tcPr>
            <w:tcW w:w="1719" w:type="dxa"/>
          </w:tcPr>
          <w:p w:rsidR="00ED20AA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3.520,34</w:t>
            </w:r>
          </w:p>
        </w:tc>
        <w:tc>
          <w:tcPr>
            <w:tcW w:w="1658" w:type="dxa"/>
          </w:tcPr>
          <w:p w:rsidR="00ED20AA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3.453,74</w:t>
            </w:r>
          </w:p>
        </w:tc>
        <w:tc>
          <w:tcPr>
            <w:tcW w:w="1208" w:type="dxa"/>
          </w:tcPr>
          <w:p w:rsidR="00ED20AA" w:rsidRPr="0004208F" w:rsidRDefault="00ED20A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ED20AA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66,60</w:t>
            </w:r>
          </w:p>
        </w:tc>
      </w:tr>
      <w:tr w:rsidR="0076107B" w:rsidRPr="0004208F" w:rsidTr="00ED20AA">
        <w:tc>
          <w:tcPr>
            <w:tcW w:w="2190" w:type="dxa"/>
          </w:tcPr>
          <w:p w:rsidR="0076107B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1719" w:type="dxa"/>
          </w:tcPr>
          <w:p w:rsidR="0076107B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15.558,22</w:t>
            </w:r>
          </w:p>
        </w:tc>
        <w:tc>
          <w:tcPr>
            <w:tcW w:w="1658" w:type="dxa"/>
          </w:tcPr>
          <w:p w:rsidR="0076107B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11.641,17</w:t>
            </w:r>
          </w:p>
        </w:tc>
        <w:tc>
          <w:tcPr>
            <w:tcW w:w="1208" w:type="dxa"/>
          </w:tcPr>
          <w:p w:rsidR="0076107B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107B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3.917,05</w:t>
            </w:r>
          </w:p>
        </w:tc>
      </w:tr>
      <w:tr w:rsidR="0076107B" w:rsidRPr="0004208F" w:rsidTr="00ED20AA">
        <w:tc>
          <w:tcPr>
            <w:tcW w:w="2190" w:type="dxa"/>
          </w:tcPr>
          <w:p w:rsidR="0076107B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719" w:type="dxa"/>
          </w:tcPr>
          <w:p w:rsidR="0076107B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111.628,22</w:t>
            </w:r>
          </w:p>
        </w:tc>
        <w:tc>
          <w:tcPr>
            <w:tcW w:w="1658" w:type="dxa"/>
          </w:tcPr>
          <w:p w:rsidR="0076107B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106.589,09</w:t>
            </w:r>
          </w:p>
        </w:tc>
        <w:tc>
          <w:tcPr>
            <w:tcW w:w="1208" w:type="dxa"/>
          </w:tcPr>
          <w:p w:rsidR="0076107B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107B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5.039,13</w:t>
            </w:r>
          </w:p>
        </w:tc>
      </w:tr>
      <w:tr w:rsidR="0076107B" w:rsidRPr="0004208F" w:rsidTr="00ED20AA">
        <w:tc>
          <w:tcPr>
            <w:tcW w:w="2190" w:type="dxa"/>
          </w:tcPr>
          <w:p w:rsidR="0076107B" w:rsidRDefault="00326AE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1719" w:type="dxa"/>
          </w:tcPr>
          <w:p w:rsidR="0076107B" w:rsidRDefault="00326AE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200.830,00</w:t>
            </w:r>
          </w:p>
        </w:tc>
        <w:tc>
          <w:tcPr>
            <w:tcW w:w="1658" w:type="dxa"/>
          </w:tcPr>
          <w:p w:rsidR="0076107B" w:rsidRDefault="00326AE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196.680,00</w:t>
            </w:r>
          </w:p>
        </w:tc>
        <w:tc>
          <w:tcPr>
            <w:tcW w:w="1208" w:type="dxa"/>
          </w:tcPr>
          <w:p w:rsidR="0076107B" w:rsidRPr="0004208F" w:rsidRDefault="0076107B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107B" w:rsidRDefault="00326AE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4.150,00</w:t>
            </w:r>
          </w:p>
        </w:tc>
      </w:tr>
      <w:tr w:rsidR="00326AEA" w:rsidRPr="0004208F" w:rsidTr="00ED20AA">
        <w:tc>
          <w:tcPr>
            <w:tcW w:w="2190" w:type="dxa"/>
          </w:tcPr>
          <w:p w:rsidR="00326AEA" w:rsidRDefault="00326AE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1719" w:type="dxa"/>
          </w:tcPr>
          <w:p w:rsidR="00326AEA" w:rsidRDefault="00326AE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83.806,13</w:t>
            </w:r>
          </w:p>
        </w:tc>
        <w:tc>
          <w:tcPr>
            <w:tcW w:w="1658" w:type="dxa"/>
          </w:tcPr>
          <w:p w:rsidR="00326AEA" w:rsidRDefault="00326AE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73.135,79</w:t>
            </w:r>
          </w:p>
        </w:tc>
        <w:tc>
          <w:tcPr>
            <w:tcW w:w="1208" w:type="dxa"/>
          </w:tcPr>
          <w:p w:rsidR="00326AEA" w:rsidRPr="0004208F" w:rsidRDefault="00326AE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326AEA" w:rsidRDefault="00326AEA" w:rsidP="00F75F53">
            <w:pPr>
              <w:pStyle w:val="Corpodetexto"/>
              <w:tabs>
                <w:tab w:val="left" w:pos="425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10.670,34</w:t>
            </w:r>
          </w:p>
        </w:tc>
      </w:tr>
    </w:tbl>
    <w:p w:rsidR="008814F7" w:rsidRPr="0004208F" w:rsidRDefault="008814F7" w:rsidP="008814F7">
      <w:pPr>
        <w:pStyle w:val="Corpodetexto"/>
        <w:tabs>
          <w:tab w:val="left" w:pos="4253"/>
        </w:tabs>
        <w:ind w:firstLine="1134"/>
        <w:rPr>
          <w:b/>
          <w:color w:val="000000"/>
          <w:sz w:val="24"/>
          <w:szCs w:val="24"/>
        </w:rPr>
      </w:pPr>
    </w:p>
    <w:p w:rsidR="00326AEA" w:rsidRDefault="00326AEA" w:rsidP="008814F7">
      <w:pPr>
        <w:pStyle w:val="Corpodetexto"/>
        <w:tabs>
          <w:tab w:val="left" w:pos="4253"/>
        </w:tabs>
        <w:ind w:firstLine="1134"/>
        <w:rPr>
          <w:b/>
          <w:color w:val="000000"/>
          <w:sz w:val="24"/>
          <w:szCs w:val="24"/>
        </w:rPr>
      </w:pPr>
    </w:p>
    <w:p w:rsidR="00326AEA" w:rsidRDefault="00326AEA" w:rsidP="008814F7">
      <w:pPr>
        <w:pStyle w:val="Corpodetexto"/>
        <w:tabs>
          <w:tab w:val="left" w:pos="4253"/>
        </w:tabs>
        <w:ind w:firstLine="1134"/>
        <w:rPr>
          <w:b/>
          <w:color w:val="000000"/>
          <w:sz w:val="24"/>
          <w:szCs w:val="24"/>
        </w:rPr>
      </w:pPr>
    </w:p>
    <w:p w:rsidR="008814F7" w:rsidRPr="0004208F" w:rsidRDefault="008814F7" w:rsidP="008814F7">
      <w:pPr>
        <w:pStyle w:val="Corpodetexto"/>
        <w:tabs>
          <w:tab w:val="left" w:pos="4253"/>
        </w:tabs>
        <w:ind w:firstLine="1134"/>
        <w:rPr>
          <w:b/>
          <w:color w:val="000000"/>
          <w:sz w:val="24"/>
          <w:szCs w:val="24"/>
        </w:rPr>
      </w:pPr>
      <w:proofErr w:type="gramStart"/>
      <w:r w:rsidRPr="0004208F">
        <w:rPr>
          <w:b/>
          <w:color w:val="000000"/>
          <w:sz w:val="24"/>
          <w:szCs w:val="24"/>
        </w:rPr>
        <w:lastRenderedPageBreak/>
        <w:t>4)Exame</w:t>
      </w:r>
      <w:proofErr w:type="gramEnd"/>
      <w:r w:rsidRPr="0004208F">
        <w:rPr>
          <w:b/>
          <w:color w:val="000000"/>
          <w:sz w:val="24"/>
          <w:szCs w:val="24"/>
        </w:rPr>
        <w:t xml:space="preserve"> da execução folha de pagamento.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>4.1) Visando verificar a execução da folha de pagamento, a Unidade Central de Controle Interno auditou os procedimentos respectivos, por amostragem, de onde se extrai que: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  <w:t>a) A folha de pagamento é organizada e executada por centros de custo;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  <w:t>b) Os servidores alocados em cada centro de custo estão devidamente lotados nas respectivas unidades administrativas, inclusive os vinculados à Educação e Saúde;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color w:val="000000"/>
          <w:sz w:val="24"/>
          <w:szCs w:val="24"/>
        </w:rPr>
        <w:tab/>
      </w:r>
      <w:r w:rsidRPr="0004208F">
        <w:rPr>
          <w:sz w:val="24"/>
          <w:szCs w:val="24"/>
        </w:rPr>
        <w:t>c) Não há vantagens, cujo direito foi implementado por servidores, pendentes de concessão, como por exemplo adicionais por tempo de serviço, promoções e progressões, adicionais de insalubridade e periculosidade etc.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  <w:t>d) As vantagens funcionais concedidas aos servidores, com exceção do adicionais por tempo de serviço que é pago automaticamente pelo sistema da folha de pagamento, promoções e progressões, adicionais de insalubridade e periculosidade, gozo de férias e de licença prêmio etc. Ocorreram regularmente e contaram com a emissão e publicação do ato respectivo, bem como com a devida anotação nos registros funcionais;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  <w:t>e) Os documentos essenciais para comprovar o direito às vantagens concedidas aos servidores estão devidamente arquivados;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  <w:t>f) Foram devidamente formalizados atos de aplicação de penalidades (decorrentes de procedimento administrativo regular), como advertências, suspensões e determinações de ressarcimento ao erário, sendo que tais circunstâncias foram devidamente anotadas nos registros funcionais;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  <w:t>g) Foram devidamente instruídos todos os processos de prestação de contas relativos às diárias concedidas, tanto para servidores como para agentes políticos, a referida prestação de contas fica arquivada junto com o empenho na Sec. Da Fazenda.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  <w:t>h) Foram emitidas e estão arquivadas nas pastas funcionais, devidamente assinadas pelos responsáveis, as efetividades dos servidores, fundamentando inclusive as horas extras pagas ou registradas em banco de horas;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  <w:t>i) O município não tem compensação de horas extras;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lastRenderedPageBreak/>
        <w:tab/>
      </w:r>
      <w:r w:rsidRPr="0004208F">
        <w:rPr>
          <w:color w:val="000000"/>
          <w:sz w:val="24"/>
          <w:szCs w:val="24"/>
        </w:rPr>
        <w:tab/>
      </w:r>
      <w:r w:rsidR="009E4510">
        <w:rPr>
          <w:color w:val="000000"/>
          <w:sz w:val="24"/>
          <w:szCs w:val="24"/>
        </w:rPr>
        <w:t>j</w:t>
      </w:r>
      <w:r w:rsidRPr="0004208F">
        <w:rPr>
          <w:color w:val="000000"/>
          <w:sz w:val="24"/>
          <w:szCs w:val="24"/>
        </w:rPr>
        <w:t>) Está em dia e de acordo a legislação local a avaliação do estágio probatório dos servidores, bem como foram emitidas as portarias de declaração de estabilidade, quando for o caso (art. 41 da CR);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</w:r>
      <w:r w:rsidR="009E4510">
        <w:rPr>
          <w:color w:val="000000"/>
          <w:sz w:val="24"/>
          <w:szCs w:val="24"/>
        </w:rPr>
        <w:t>k</w:t>
      </w:r>
      <w:r w:rsidRPr="0004208F">
        <w:rPr>
          <w:color w:val="000000"/>
          <w:sz w:val="24"/>
          <w:szCs w:val="24"/>
        </w:rPr>
        <w:t xml:space="preserve">) Existe um servidor percebendo remuneração superior ao subsídio do Prefeito, trata-se, do </w:t>
      </w:r>
      <w:proofErr w:type="spellStart"/>
      <w:r w:rsidRPr="0004208F">
        <w:rPr>
          <w:color w:val="000000"/>
          <w:sz w:val="24"/>
          <w:szCs w:val="24"/>
        </w:rPr>
        <w:t>medico</w:t>
      </w:r>
      <w:proofErr w:type="spellEnd"/>
      <w:r w:rsidRPr="0004208F">
        <w:rPr>
          <w:color w:val="000000"/>
          <w:sz w:val="24"/>
          <w:szCs w:val="24"/>
        </w:rPr>
        <w:t xml:space="preserve"> clinico geral, contratado por tempo determinado ferindo o art. 37, XI, da CR. Porém, é extrema a dificuldade dos municípios pequenos de conseguir efetivar um </w:t>
      </w:r>
      <w:proofErr w:type="spellStart"/>
      <w:r w:rsidRPr="0004208F">
        <w:rPr>
          <w:color w:val="000000"/>
          <w:sz w:val="24"/>
          <w:szCs w:val="24"/>
        </w:rPr>
        <w:t>medico</w:t>
      </w:r>
      <w:proofErr w:type="spellEnd"/>
      <w:r w:rsidRPr="0004208F">
        <w:rPr>
          <w:color w:val="000000"/>
          <w:sz w:val="24"/>
          <w:szCs w:val="24"/>
        </w:rPr>
        <w:t xml:space="preserve"> através de concurso </w:t>
      </w:r>
      <w:proofErr w:type="spellStart"/>
      <w:r w:rsidRPr="0004208F">
        <w:rPr>
          <w:color w:val="000000"/>
          <w:sz w:val="24"/>
          <w:szCs w:val="24"/>
        </w:rPr>
        <w:t>publico</w:t>
      </w:r>
      <w:proofErr w:type="spellEnd"/>
      <w:r w:rsidRPr="0004208F">
        <w:rPr>
          <w:color w:val="000000"/>
          <w:sz w:val="24"/>
          <w:szCs w:val="24"/>
        </w:rPr>
        <w:t>, pelo fato da remuneração não atingir a média salarial da classe praticada no mercado. Contudo, foi aberto concurso público no exercício de 2015 e não houveram interessados para o cargo, situação que vem se repetindo durante anos.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</w:r>
      <w:r w:rsidR="009E4510">
        <w:rPr>
          <w:color w:val="000000"/>
          <w:sz w:val="24"/>
          <w:szCs w:val="24"/>
        </w:rPr>
        <w:t>l</w:t>
      </w:r>
      <w:r w:rsidRPr="0004208F">
        <w:rPr>
          <w:color w:val="000000"/>
          <w:sz w:val="24"/>
          <w:szCs w:val="24"/>
        </w:rPr>
        <w:t>) Está sendo publicada, anualmente, a relação dos subsídios e das remunerações dos cargos e empregos públicos (art. 39, § 6° da CR);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</w:r>
      <w:r w:rsidR="009E4510">
        <w:rPr>
          <w:color w:val="000000"/>
          <w:sz w:val="24"/>
          <w:szCs w:val="24"/>
        </w:rPr>
        <w:t>m</w:t>
      </w:r>
      <w:r w:rsidRPr="0004208F">
        <w:rPr>
          <w:color w:val="000000"/>
          <w:sz w:val="24"/>
          <w:szCs w:val="24"/>
        </w:rPr>
        <w:t>) Foram corretamente aplicadas as leis de reajuste e de revisão geral dos servidores;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</w:r>
      <w:r w:rsidR="009E4510">
        <w:rPr>
          <w:color w:val="000000"/>
          <w:sz w:val="24"/>
          <w:szCs w:val="24"/>
        </w:rPr>
        <w:t>n</w:t>
      </w:r>
      <w:r w:rsidRPr="0004208F">
        <w:rPr>
          <w:color w:val="000000"/>
          <w:sz w:val="24"/>
          <w:szCs w:val="24"/>
        </w:rPr>
        <w:t xml:space="preserve">) Foi elaborada e está sendo cumprida escala de gozo de férias dos servidores; 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</w:r>
      <w:r w:rsidR="009E4510">
        <w:rPr>
          <w:color w:val="000000"/>
          <w:sz w:val="24"/>
          <w:szCs w:val="24"/>
        </w:rPr>
        <w:t>o</w:t>
      </w:r>
      <w:r w:rsidRPr="0004208F">
        <w:rPr>
          <w:color w:val="000000"/>
          <w:sz w:val="24"/>
          <w:szCs w:val="24"/>
        </w:rPr>
        <w:t>) Os descontos em folha de pagamento contam com autorização legislativa, autorização do servidor e obedecem ao limite fixado na norma local;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</w:r>
      <w:r w:rsidR="009E4510">
        <w:rPr>
          <w:color w:val="000000"/>
          <w:sz w:val="24"/>
          <w:szCs w:val="24"/>
        </w:rPr>
        <w:t>p</w:t>
      </w:r>
      <w:r w:rsidRPr="0004208F">
        <w:rPr>
          <w:color w:val="000000"/>
          <w:sz w:val="24"/>
          <w:szCs w:val="24"/>
        </w:rPr>
        <w:t>) Estão regulares as contribuições previdenciárias ao Regime Geral de Previdência Social – RGPS e ao Regime Próprio de Previdência dos Servidores – RPPS;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</w:r>
      <w:r w:rsidR="009E4510">
        <w:rPr>
          <w:color w:val="000000"/>
          <w:sz w:val="24"/>
          <w:szCs w:val="24"/>
        </w:rPr>
        <w:t>q</w:t>
      </w:r>
      <w:r w:rsidRPr="0004208F">
        <w:rPr>
          <w:color w:val="000000"/>
          <w:sz w:val="24"/>
          <w:szCs w:val="24"/>
        </w:rPr>
        <w:t>) Estão regulares os desconto do imposto de renda na fonte (Decreto Federal nº 3.000/1999).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b/>
          <w:color w:val="000000"/>
          <w:sz w:val="24"/>
          <w:szCs w:val="24"/>
        </w:rPr>
      </w:pPr>
      <w:r w:rsidRPr="0004208F">
        <w:rPr>
          <w:b/>
          <w:color w:val="000000"/>
          <w:sz w:val="24"/>
          <w:szCs w:val="24"/>
        </w:rPr>
        <w:t>4.2) Acompanhamento dos limites dos gastos com pessoal: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  <w:t>Para fins de acompanhamento dos gastos com pessoal dos Poderes Executivo e Legislativo, a UCCI pautou-se nas disposições da Lei Complementar nº 101/2000, bem como nas orientações traçadas pelo Tribunal de Contas do Estado.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>Nesse aspecto temos a referir que: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lastRenderedPageBreak/>
        <w:tab/>
      </w:r>
      <w:r w:rsidRPr="0004208F">
        <w:rPr>
          <w:color w:val="000000"/>
          <w:sz w:val="24"/>
          <w:szCs w:val="24"/>
        </w:rPr>
        <w:tab/>
        <w:t>a) Quantos aos empenhos da folha de pagamentos, considerando o art. 63 da Lei nº 4.320/64, verificamos que a liquidação dos empenhos relativos à Despesa com Pessoal ocorreu no mesmo mês em que foi efetivada prestação do serviço pelos empregados ou servidores públicos;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 xml:space="preserve"> </w:t>
      </w:r>
      <w:r w:rsidRPr="0004208F">
        <w:rPr>
          <w:color w:val="000000"/>
          <w:sz w:val="24"/>
          <w:szCs w:val="24"/>
        </w:rPr>
        <w:tab/>
      </w:r>
      <w:r w:rsidRPr="0004208F">
        <w:rPr>
          <w:color w:val="000000"/>
          <w:sz w:val="24"/>
          <w:szCs w:val="24"/>
        </w:rPr>
        <w:tab/>
      </w:r>
      <w:r w:rsidRPr="0004208F">
        <w:rPr>
          <w:color w:val="000000"/>
          <w:sz w:val="24"/>
          <w:szCs w:val="24"/>
        </w:rPr>
        <w:tab/>
      </w:r>
      <w:r w:rsidRPr="0004208F">
        <w:rPr>
          <w:color w:val="000000"/>
          <w:sz w:val="24"/>
          <w:szCs w:val="24"/>
        </w:rPr>
        <w:tab/>
      </w:r>
      <w:r w:rsidR="00CD0D89">
        <w:rPr>
          <w:color w:val="000000"/>
          <w:sz w:val="24"/>
          <w:szCs w:val="24"/>
        </w:rPr>
        <w:t>b</w:t>
      </w:r>
      <w:r w:rsidRPr="0004208F">
        <w:rPr>
          <w:color w:val="000000"/>
          <w:sz w:val="24"/>
          <w:szCs w:val="24"/>
        </w:rPr>
        <w:t>) Não ocorreram despesas/indenizações referente a férias não gozadas. Em virtude de que sempre são gozadas no período equivalente.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</w:r>
      <w:r w:rsidRPr="0004208F">
        <w:rPr>
          <w:color w:val="000000"/>
          <w:sz w:val="24"/>
          <w:szCs w:val="24"/>
        </w:rPr>
        <w:tab/>
      </w:r>
      <w:r w:rsidR="000A7AAA">
        <w:rPr>
          <w:color w:val="000000"/>
          <w:sz w:val="24"/>
          <w:szCs w:val="24"/>
        </w:rPr>
        <w:t>c</w:t>
      </w:r>
      <w:r w:rsidRPr="0004208F">
        <w:rPr>
          <w:color w:val="000000"/>
          <w:sz w:val="24"/>
          <w:szCs w:val="24"/>
        </w:rPr>
        <w:t>) Os gastos com pessoal estão dentro do limite prudencial de 51,30% e 5,7% das receitas correntes liquidas, respectivamente do poder executivo e legislativo.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  <w:t>Assim, ao teor das considerações supra, os gastos com pessoal de ambos os poderes podem ser visualizados no seguinte quadro / resumo: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900"/>
        <w:gridCol w:w="1480"/>
        <w:gridCol w:w="1240"/>
        <w:gridCol w:w="1090"/>
      </w:tblGrid>
      <w:tr w:rsidR="008814F7" w:rsidRPr="0004208F" w:rsidTr="00F75F53">
        <w:trPr>
          <w:trHeight w:val="58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814F7" w:rsidRPr="0004208F" w:rsidRDefault="008814F7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4208F">
              <w:rPr>
                <w:b/>
                <w:color w:val="000000"/>
                <w:sz w:val="24"/>
                <w:szCs w:val="24"/>
              </w:rPr>
              <w:t>PODER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14F7" w:rsidRPr="0004208F" w:rsidRDefault="008814F7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4208F">
              <w:rPr>
                <w:b/>
                <w:bCs/>
                <w:color w:val="000000"/>
                <w:sz w:val="24"/>
                <w:szCs w:val="24"/>
              </w:rPr>
              <w:t xml:space="preserve">Despesas </w:t>
            </w:r>
          </w:p>
          <w:p w:rsidR="008814F7" w:rsidRPr="0004208F" w:rsidRDefault="008814F7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4208F">
              <w:rPr>
                <w:b/>
                <w:bCs/>
                <w:color w:val="000000"/>
                <w:sz w:val="24"/>
                <w:szCs w:val="24"/>
              </w:rPr>
              <w:t>Liquidadas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14F7" w:rsidRPr="0004208F" w:rsidRDefault="008814F7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4208F">
              <w:rPr>
                <w:b/>
                <w:bCs/>
                <w:color w:val="000000"/>
                <w:sz w:val="24"/>
                <w:szCs w:val="24"/>
              </w:rPr>
              <w:t>% RCL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14F7" w:rsidRPr="0004208F" w:rsidRDefault="008814F7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4208F">
              <w:rPr>
                <w:b/>
                <w:bCs/>
                <w:color w:val="000000"/>
                <w:sz w:val="24"/>
                <w:szCs w:val="24"/>
              </w:rPr>
              <w:t>Limite emissão de aviso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814F7" w:rsidRPr="0004208F" w:rsidRDefault="008814F7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4208F">
              <w:rPr>
                <w:b/>
                <w:bCs/>
                <w:color w:val="000000"/>
                <w:sz w:val="24"/>
                <w:szCs w:val="24"/>
              </w:rPr>
              <w:t>Limite Legal</w:t>
            </w:r>
          </w:p>
        </w:tc>
      </w:tr>
      <w:tr w:rsidR="008814F7" w:rsidRPr="0004208F" w:rsidTr="00F75F53">
        <w:trPr>
          <w:trHeight w:val="585"/>
        </w:trPr>
        <w:tc>
          <w:tcPr>
            <w:tcW w:w="3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814F7" w:rsidRPr="0004208F" w:rsidRDefault="008814F7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4208F">
              <w:rPr>
                <w:color w:val="000000"/>
                <w:sz w:val="24"/>
                <w:szCs w:val="24"/>
              </w:rPr>
              <w:t>Despesas com pessoal do Executivo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14F7" w:rsidRPr="0004208F" w:rsidRDefault="00FB02CA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6.382.421,49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14F7" w:rsidRPr="0004208F" w:rsidRDefault="00FB02CA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40,18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14F7" w:rsidRPr="0004208F" w:rsidRDefault="008814F7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4208F">
              <w:rPr>
                <w:b/>
                <w:bCs/>
                <w:color w:val="000000"/>
                <w:sz w:val="24"/>
                <w:szCs w:val="24"/>
              </w:rPr>
              <w:t>48,60%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814F7" w:rsidRPr="0004208F" w:rsidRDefault="008814F7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4208F">
              <w:rPr>
                <w:b/>
                <w:bCs/>
                <w:color w:val="000000"/>
                <w:sz w:val="24"/>
                <w:szCs w:val="24"/>
              </w:rPr>
              <w:t>54%</w:t>
            </w:r>
          </w:p>
        </w:tc>
      </w:tr>
      <w:tr w:rsidR="008814F7" w:rsidRPr="0004208F" w:rsidTr="00F75F53">
        <w:trPr>
          <w:trHeight w:val="585"/>
        </w:trPr>
        <w:tc>
          <w:tcPr>
            <w:tcW w:w="3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814F7" w:rsidRPr="0004208F" w:rsidRDefault="008814F7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4208F">
              <w:rPr>
                <w:color w:val="000000"/>
                <w:sz w:val="24"/>
                <w:szCs w:val="24"/>
              </w:rPr>
              <w:t>Despesas com pessoal do Legislativo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14F7" w:rsidRPr="0004208F" w:rsidRDefault="00FB02CA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350.660,24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14F7" w:rsidRPr="0004208F" w:rsidRDefault="00FB02CA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2,21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14F7" w:rsidRPr="0004208F" w:rsidRDefault="008814F7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4208F">
              <w:rPr>
                <w:b/>
                <w:bCs/>
                <w:color w:val="000000"/>
                <w:sz w:val="24"/>
                <w:szCs w:val="24"/>
              </w:rPr>
              <w:t>5,40%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814F7" w:rsidRPr="0004208F" w:rsidRDefault="008814F7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4208F">
              <w:rPr>
                <w:b/>
                <w:bCs/>
                <w:color w:val="000000"/>
                <w:sz w:val="24"/>
                <w:szCs w:val="24"/>
              </w:rPr>
              <w:t>6%</w:t>
            </w:r>
          </w:p>
        </w:tc>
      </w:tr>
      <w:tr w:rsidR="008814F7" w:rsidRPr="0004208F" w:rsidTr="00F75F53">
        <w:trPr>
          <w:trHeight w:val="615"/>
        </w:trPr>
        <w:tc>
          <w:tcPr>
            <w:tcW w:w="3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F7" w:rsidRPr="0004208F" w:rsidRDefault="008814F7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4208F">
              <w:rPr>
                <w:b/>
                <w:bCs/>
                <w:color w:val="000000"/>
                <w:sz w:val="24"/>
                <w:szCs w:val="24"/>
              </w:rPr>
              <w:t>Total das despesas com pessoal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14F7" w:rsidRPr="0004208F" w:rsidRDefault="00FB02CA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6.733.081,73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14F7" w:rsidRPr="0004208F" w:rsidRDefault="00FB02CA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42,39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14F7" w:rsidRPr="0004208F" w:rsidRDefault="008814F7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4208F">
              <w:rPr>
                <w:b/>
                <w:bCs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F7" w:rsidRPr="0004208F" w:rsidRDefault="008814F7" w:rsidP="00F75F53">
            <w:pPr>
              <w:tabs>
                <w:tab w:val="left" w:pos="2268"/>
              </w:tabs>
              <w:spacing w:before="119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4208F">
              <w:rPr>
                <w:b/>
                <w:bCs/>
                <w:color w:val="000000"/>
                <w:sz w:val="24"/>
                <w:szCs w:val="24"/>
              </w:rPr>
              <w:t>60%</w:t>
            </w:r>
          </w:p>
        </w:tc>
      </w:tr>
    </w:tbl>
    <w:p w:rsidR="008814F7" w:rsidRPr="0004208F" w:rsidRDefault="008814F7" w:rsidP="008814F7">
      <w:pPr>
        <w:pStyle w:val="Corpodetexto"/>
        <w:tabs>
          <w:tab w:val="left" w:pos="4253"/>
        </w:tabs>
        <w:ind w:firstLine="1134"/>
        <w:rPr>
          <w:b/>
          <w:color w:val="000000"/>
          <w:sz w:val="24"/>
          <w:szCs w:val="24"/>
        </w:rPr>
      </w:pPr>
    </w:p>
    <w:p w:rsidR="008814F7" w:rsidRPr="0004208F" w:rsidRDefault="008814F7" w:rsidP="008814F7">
      <w:pPr>
        <w:tabs>
          <w:tab w:val="left" w:pos="1950"/>
        </w:tabs>
        <w:jc w:val="both"/>
        <w:rPr>
          <w:sz w:val="24"/>
          <w:szCs w:val="24"/>
        </w:rPr>
      </w:pPr>
    </w:p>
    <w:p w:rsidR="008814F7" w:rsidRPr="0004208F" w:rsidRDefault="008814F7" w:rsidP="008814F7">
      <w:pPr>
        <w:pStyle w:val="PargrafodaLista"/>
        <w:numPr>
          <w:ilvl w:val="0"/>
          <w:numId w:val="2"/>
        </w:numPr>
        <w:tabs>
          <w:tab w:val="left" w:pos="2268"/>
        </w:tabs>
        <w:spacing w:before="11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08F">
        <w:rPr>
          <w:rFonts w:ascii="Times New Roman" w:hAnsi="Times New Roman" w:cs="Times New Roman"/>
          <w:b/>
          <w:sz w:val="24"/>
          <w:szCs w:val="24"/>
        </w:rPr>
        <w:t>Controle da execução da despesa orçamentária.</w:t>
      </w:r>
    </w:p>
    <w:p w:rsidR="008814F7" w:rsidRPr="0004208F" w:rsidRDefault="008814F7" w:rsidP="008814F7">
      <w:pPr>
        <w:pStyle w:val="PargrafodaLista"/>
        <w:tabs>
          <w:tab w:val="left" w:pos="2268"/>
        </w:tabs>
        <w:spacing w:before="11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08F">
        <w:rPr>
          <w:rFonts w:ascii="Times New Roman" w:hAnsi="Times New Roman" w:cs="Times New Roman"/>
          <w:b/>
          <w:sz w:val="24"/>
          <w:szCs w:val="24"/>
        </w:rPr>
        <w:t>Os itens abaixo foram analisados por amostragem:</w:t>
      </w:r>
    </w:p>
    <w:p w:rsidR="008814F7" w:rsidRPr="0004208F" w:rsidRDefault="008814F7" w:rsidP="008814F7">
      <w:pPr>
        <w:pStyle w:val="PargrafodaLista"/>
        <w:numPr>
          <w:ilvl w:val="0"/>
          <w:numId w:val="1"/>
        </w:numPr>
        <w:tabs>
          <w:tab w:val="left" w:pos="2268"/>
        </w:tabs>
        <w:spacing w:before="1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8F">
        <w:rPr>
          <w:rFonts w:ascii="Times New Roman" w:hAnsi="Times New Roman" w:cs="Times New Roman"/>
          <w:sz w:val="24"/>
          <w:szCs w:val="24"/>
        </w:rPr>
        <w:t>Os créditos adicionais têm sido processados com base em lei municipal.</w:t>
      </w:r>
    </w:p>
    <w:p w:rsidR="008814F7" w:rsidRPr="0004208F" w:rsidRDefault="008814F7" w:rsidP="008814F7">
      <w:pPr>
        <w:pStyle w:val="PargrafodaLista"/>
        <w:numPr>
          <w:ilvl w:val="0"/>
          <w:numId w:val="1"/>
        </w:numPr>
        <w:tabs>
          <w:tab w:val="left" w:pos="2268"/>
        </w:tabs>
        <w:spacing w:before="1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8F">
        <w:rPr>
          <w:rFonts w:ascii="Times New Roman" w:hAnsi="Times New Roman" w:cs="Times New Roman"/>
          <w:sz w:val="24"/>
          <w:szCs w:val="24"/>
        </w:rPr>
        <w:t>As notas fiscais são emitidas em nome do município, contemplam todas as informações de preços e unidades e observam o prazo de validade para emissão.</w:t>
      </w:r>
    </w:p>
    <w:p w:rsidR="008814F7" w:rsidRPr="0004208F" w:rsidRDefault="008814F7" w:rsidP="008814F7">
      <w:pPr>
        <w:pStyle w:val="PargrafodaLista"/>
        <w:numPr>
          <w:ilvl w:val="0"/>
          <w:numId w:val="1"/>
        </w:numPr>
        <w:tabs>
          <w:tab w:val="left" w:pos="2268"/>
        </w:tabs>
        <w:spacing w:before="1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8F">
        <w:rPr>
          <w:rFonts w:ascii="Times New Roman" w:hAnsi="Times New Roman" w:cs="Times New Roman"/>
          <w:sz w:val="24"/>
          <w:szCs w:val="24"/>
        </w:rPr>
        <w:t>Em relação a folha de pagamento, a liquidação da despesa é efetuada com base nos registros de ponto dos servidores e demais documentos comprobatórios, que dão legitimidade aos pagamentos. A liquidação da despesa é registrada na contabilidade de forma tempestiva mediante lançamentos contábeis no sistema.</w:t>
      </w:r>
    </w:p>
    <w:p w:rsidR="008814F7" w:rsidRPr="0004208F" w:rsidRDefault="008814F7" w:rsidP="008814F7">
      <w:pPr>
        <w:pStyle w:val="PargrafodaLista"/>
        <w:numPr>
          <w:ilvl w:val="0"/>
          <w:numId w:val="1"/>
        </w:numPr>
        <w:tabs>
          <w:tab w:val="left" w:pos="2268"/>
        </w:tabs>
        <w:spacing w:before="1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8F">
        <w:rPr>
          <w:rFonts w:ascii="Times New Roman" w:hAnsi="Times New Roman" w:cs="Times New Roman"/>
          <w:sz w:val="24"/>
          <w:szCs w:val="24"/>
        </w:rPr>
        <w:lastRenderedPageBreak/>
        <w:t>Os pagamentos foram realizados mediante emissão de ordem autorizada pela autoridade competente e processada pela contabilidade de forma tempestiva.</w:t>
      </w:r>
    </w:p>
    <w:p w:rsidR="008814F7" w:rsidRPr="0004208F" w:rsidRDefault="008814F7" w:rsidP="008814F7">
      <w:pPr>
        <w:pStyle w:val="PargrafodaLista"/>
        <w:numPr>
          <w:ilvl w:val="0"/>
          <w:numId w:val="1"/>
        </w:numPr>
        <w:tabs>
          <w:tab w:val="left" w:pos="2268"/>
        </w:tabs>
        <w:spacing w:before="1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8F">
        <w:rPr>
          <w:rFonts w:ascii="Times New Roman" w:hAnsi="Times New Roman" w:cs="Times New Roman"/>
          <w:sz w:val="24"/>
          <w:szCs w:val="24"/>
        </w:rPr>
        <w:t>A administração mantem em seu poder a documentação referente a todas as matérias divulgadas nos veículos de comunicação.</w:t>
      </w:r>
    </w:p>
    <w:p w:rsidR="008814F7" w:rsidRPr="0004208F" w:rsidRDefault="008814F7" w:rsidP="008814F7">
      <w:pPr>
        <w:pStyle w:val="Recuodecorpodetexto21"/>
        <w:numPr>
          <w:ilvl w:val="0"/>
          <w:numId w:val="3"/>
        </w:numPr>
        <w:tabs>
          <w:tab w:val="left" w:pos="2268"/>
        </w:tabs>
        <w:spacing w:before="11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208F">
        <w:rPr>
          <w:rFonts w:ascii="Times New Roman" w:hAnsi="Times New Roman"/>
          <w:b/>
          <w:sz w:val="24"/>
          <w:szCs w:val="24"/>
        </w:rPr>
        <w:t>Exame da gestão dos regimes próprios de previdência.</w:t>
      </w:r>
    </w:p>
    <w:p w:rsidR="008814F7" w:rsidRPr="0004208F" w:rsidRDefault="008814F7" w:rsidP="008814F7">
      <w:pPr>
        <w:pStyle w:val="Recuodecorpodetexto21"/>
        <w:numPr>
          <w:ilvl w:val="0"/>
          <w:numId w:val="4"/>
        </w:numPr>
        <w:tabs>
          <w:tab w:val="left" w:pos="2268"/>
        </w:tabs>
        <w:spacing w:before="119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08F">
        <w:rPr>
          <w:rFonts w:ascii="Times New Roman" w:hAnsi="Times New Roman"/>
          <w:color w:val="000000"/>
          <w:sz w:val="24"/>
          <w:szCs w:val="24"/>
        </w:rPr>
        <w:t>No tocante a gestão do Regime Próprio de Previdência Social – RPPS ratifica-se a documentação elaborada pelo Conselho Municipal de Previdência, destacando-se o que segue:</w:t>
      </w:r>
    </w:p>
    <w:p w:rsidR="008814F7" w:rsidRPr="0004208F" w:rsidRDefault="008814F7" w:rsidP="008814F7">
      <w:pPr>
        <w:pStyle w:val="Recuodecorpodetexto21"/>
        <w:numPr>
          <w:ilvl w:val="0"/>
          <w:numId w:val="4"/>
        </w:numPr>
        <w:tabs>
          <w:tab w:val="left" w:pos="2268"/>
        </w:tabs>
        <w:spacing w:before="119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08F">
        <w:rPr>
          <w:rFonts w:ascii="Times New Roman" w:hAnsi="Times New Roman"/>
          <w:color w:val="000000"/>
          <w:sz w:val="24"/>
          <w:szCs w:val="24"/>
        </w:rPr>
        <w:t>O Regime está amparado em cálculo atuarial inicial;</w:t>
      </w:r>
    </w:p>
    <w:p w:rsidR="008814F7" w:rsidRPr="0004208F" w:rsidRDefault="008814F7" w:rsidP="008814F7">
      <w:pPr>
        <w:pStyle w:val="Recuodecorpodetexto21"/>
        <w:numPr>
          <w:ilvl w:val="0"/>
          <w:numId w:val="4"/>
        </w:numPr>
        <w:tabs>
          <w:tab w:val="left" w:pos="2268"/>
        </w:tabs>
        <w:spacing w:before="119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08F">
        <w:rPr>
          <w:rFonts w:ascii="Times New Roman" w:hAnsi="Times New Roman"/>
          <w:color w:val="000000"/>
          <w:sz w:val="24"/>
          <w:szCs w:val="24"/>
        </w:rPr>
        <w:t>O cálculo atua</w:t>
      </w:r>
      <w:r w:rsidR="00893305">
        <w:rPr>
          <w:rFonts w:ascii="Times New Roman" w:hAnsi="Times New Roman"/>
          <w:color w:val="000000"/>
          <w:sz w:val="24"/>
          <w:szCs w:val="24"/>
        </w:rPr>
        <w:t>rial é refeito a cada exercício.</w:t>
      </w:r>
    </w:p>
    <w:p w:rsidR="008814F7" w:rsidRPr="0004208F" w:rsidRDefault="008814F7" w:rsidP="008814F7">
      <w:pPr>
        <w:pStyle w:val="Recuodecorpodetexto21"/>
        <w:numPr>
          <w:ilvl w:val="0"/>
          <w:numId w:val="4"/>
        </w:numPr>
        <w:tabs>
          <w:tab w:val="left" w:pos="2268"/>
        </w:tabs>
        <w:spacing w:before="119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08F">
        <w:rPr>
          <w:rFonts w:ascii="Times New Roman" w:hAnsi="Times New Roman"/>
          <w:color w:val="000000"/>
          <w:sz w:val="24"/>
          <w:szCs w:val="24"/>
        </w:rPr>
        <w:t xml:space="preserve"> As alíquotas indicadas pelo cálculo são as que constam na lei municipal;</w:t>
      </w:r>
    </w:p>
    <w:p w:rsidR="008814F7" w:rsidRPr="0004208F" w:rsidRDefault="008814F7" w:rsidP="008814F7">
      <w:pPr>
        <w:pStyle w:val="Recuodecorpodetexto21"/>
        <w:numPr>
          <w:ilvl w:val="0"/>
          <w:numId w:val="4"/>
        </w:numPr>
        <w:tabs>
          <w:tab w:val="left" w:pos="2268"/>
        </w:tabs>
        <w:spacing w:before="119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08F">
        <w:rPr>
          <w:rFonts w:ascii="Times New Roman" w:hAnsi="Times New Roman"/>
          <w:color w:val="000000"/>
          <w:sz w:val="24"/>
          <w:szCs w:val="24"/>
        </w:rPr>
        <w:t xml:space="preserve"> Os percentuais de contribuição do Município e dos segurados – ativos e inativos – obedecem aos limites mínimos e máximos;</w:t>
      </w:r>
    </w:p>
    <w:p w:rsidR="008814F7" w:rsidRPr="0004208F" w:rsidRDefault="008814F7" w:rsidP="008814F7">
      <w:pPr>
        <w:pStyle w:val="Recuodecorpodetexto21"/>
        <w:numPr>
          <w:ilvl w:val="0"/>
          <w:numId w:val="4"/>
        </w:numPr>
        <w:tabs>
          <w:tab w:val="left" w:pos="2268"/>
        </w:tabs>
        <w:spacing w:before="119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08F">
        <w:rPr>
          <w:rFonts w:ascii="Times New Roman" w:hAnsi="Times New Roman"/>
          <w:color w:val="000000"/>
          <w:sz w:val="24"/>
          <w:szCs w:val="24"/>
        </w:rPr>
        <w:t>Os recursos do RPPS são aplicados nos limites definidos pelo Conselho Monetário Nacional;</w:t>
      </w:r>
    </w:p>
    <w:p w:rsidR="008814F7" w:rsidRPr="0004208F" w:rsidRDefault="008814F7" w:rsidP="008814F7">
      <w:pPr>
        <w:pStyle w:val="Recuodecorpodetexto21"/>
        <w:numPr>
          <w:ilvl w:val="0"/>
          <w:numId w:val="4"/>
        </w:numPr>
        <w:tabs>
          <w:tab w:val="left" w:pos="2268"/>
        </w:tabs>
        <w:spacing w:before="119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08F">
        <w:rPr>
          <w:rFonts w:ascii="Times New Roman" w:hAnsi="Times New Roman"/>
          <w:color w:val="000000"/>
          <w:sz w:val="24"/>
          <w:szCs w:val="24"/>
        </w:rPr>
        <w:t xml:space="preserve"> Regime paga somente os benefícios previdenciários e as despesas administrativas;</w:t>
      </w:r>
    </w:p>
    <w:p w:rsidR="008814F7" w:rsidRPr="0004208F" w:rsidRDefault="008814F7" w:rsidP="008814F7">
      <w:pPr>
        <w:pStyle w:val="Recuodecorpodetexto21"/>
        <w:numPr>
          <w:ilvl w:val="0"/>
          <w:numId w:val="4"/>
        </w:numPr>
        <w:tabs>
          <w:tab w:val="left" w:pos="2268"/>
        </w:tabs>
        <w:spacing w:before="119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08F">
        <w:rPr>
          <w:rFonts w:ascii="Times New Roman" w:hAnsi="Times New Roman"/>
          <w:color w:val="000000"/>
          <w:sz w:val="24"/>
          <w:szCs w:val="24"/>
        </w:rPr>
        <w:t xml:space="preserve"> O pagamento das despesas administrativas contam com autorização e obedecem ao limite legal;</w:t>
      </w:r>
    </w:p>
    <w:p w:rsidR="008814F7" w:rsidRPr="0004208F" w:rsidRDefault="008814F7" w:rsidP="008814F7">
      <w:pPr>
        <w:pStyle w:val="Recuodecorpodetexto21"/>
        <w:numPr>
          <w:ilvl w:val="0"/>
          <w:numId w:val="4"/>
        </w:numPr>
        <w:tabs>
          <w:tab w:val="left" w:pos="2268"/>
        </w:tabs>
        <w:spacing w:before="119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08F">
        <w:rPr>
          <w:rFonts w:ascii="Times New Roman" w:hAnsi="Times New Roman"/>
          <w:color w:val="000000"/>
          <w:sz w:val="24"/>
          <w:szCs w:val="24"/>
        </w:rPr>
        <w:t xml:space="preserve"> É garantido aos servidores ativos e inativos, amplo acesso às informações do RPPS;</w:t>
      </w:r>
    </w:p>
    <w:p w:rsidR="008814F7" w:rsidRPr="0004208F" w:rsidRDefault="008814F7" w:rsidP="008814F7">
      <w:pPr>
        <w:pStyle w:val="Recuodecorpodetexto21"/>
        <w:numPr>
          <w:ilvl w:val="0"/>
          <w:numId w:val="4"/>
        </w:numPr>
        <w:tabs>
          <w:tab w:val="left" w:pos="2268"/>
        </w:tabs>
        <w:spacing w:before="119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08F">
        <w:rPr>
          <w:rFonts w:ascii="Times New Roman" w:hAnsi="Times New Roman"/>
          <w:color w:val="000000"/>
          <w:sz w:val="24"/>
          <w:szCs w:val="24"/>
        </w:rPr>
        <w:t>O Município está recolhendo e repassando os valores ao RPPS, conforme as alíquotas previstas na Lei Municipal;</w:t>
      </w:r>
    </w:p>
    <w:p w:rsidR="008814F7" w:rsidRPr="0004208F" w:rsidRDefault="008814F7" w:rsidP="008814F7">
      <w:pPr>
        <w:pStyle w:val="Recuodecorpodetexto21"/>
        <w:numPr>
          <w:ilvl w:val="0"/>
          <w:numId w:val="4"/>
        </w:numPr>
        <w:tabs>
          <w:tab w:val="left" w:pos="2268"/>
        </w:tabs>
        <w:spacing w:before="119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08F">
        <w:rPr>
          <w:rFonts w:ascii="Times New Roman" w:hAnsi="Times New Roman"/>
          <w:color w:val="000000"/>
          <w:sz w:val="24"/>
          <w:szCs w:val="24"/>
        </w:rPr>
        <w:t>O RPPS está atendendo todas as exigências do Ministério da Previdência Social – MPS para obtenção do Certificado de Regularidade Previdenciária – CRP,</w:t>
      </w:r>
      <w:r w:rsidR="00FB02CA">
        <w:rPr>
          <w:rFonts w:ascii="Times New Roman" w:hAnsi="Times New Roman"/>
          <w:color w:val="000000"/>
          <w:sz w:val="24"/>
          <w:szCs w:val="24"/>
        </w:rPr>
        <w:t xml:space="preserve"> que está vigente até 27/01/2020</w:t>
      </w:r>
      <w:r w:rsidRPr="0004208F">
        <w:rPr>
          <w:rFonts w:ascii="Times New Roman" w:hAnsi="Times New Roman"/>
          <w:color w:val="000000"/>
          <w:sz w:val="24"/>
          <w:szCs w:val="24"/>
        </w:rPr>
        <w:t>.</w:t>
      </w:r>
    </w:p>
    <w:p w:rsidR="008814F7" w:rsidRPr="0004208F" w:rsidRDefault="008814F7" w:rsidP="008814F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420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As últimas reuniões realizadas pelo CMP ocorreram em </w:t>
      </w:r>
      <w:r w:rsidR="00FB02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22/02/2019</w:t>
      </w:r>
      <w:r w:rsidRPr="000420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FB02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17/05/2019</w:t>
      </w:r>
      <w:r w:rsidRPr="000420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e </w:t>
      </w:r>
      <w:r w:rsidR="00FB02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08/08/2019</w:t>
      </w:r>
      <w:r w:rsidRPr="000420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Tais datas não obedecem ao que preconiza o art. 20 da lei municipal 894/2005, a qual determina a realização de reuniões bimestrais. Recomendo que as reuniões sejam realizadas conforme a lei municipal estabelece.</w:t>
      </w:r>
    </w:p>
    <w:p w:rsidR="008814F7" w:rsidRPr="0004208F" w:rsidRDefault="008814F7" w:rsidP="008814F7">
      <w:pPr>
        <w:pStyle w:val="Recuodecorpodetexto21"/>
        <w:numPr>
          <w:ilvl w:val="0"/>
          <w:numId w:val="3"/>
        </w:numPr>
        <w:tabs>
          <w:tab w:val="left" w:pos="2268"/>
        </w:tabs>
        <w:spacing w:before="11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208F">
        <w:rPr>
          <w:rFonts w:ascii="Times New Roman" w:hAnsi="Times New Roman"/>
          <w:b/>
          <w:sz w:val="24"/>
          <w:szCs w:val="24"/>
        </w:rPr>
        <w:lastRenderedPageBreak/>
        <w:t>Receitas de Transferências intergovernamentais: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>Por amostragem, foi realizado exame das receitas oriundas de Transferências Intergovernamentais da União e do Estado, a fim de diagnosticar o nível de gerenciamento desses recursos, avaliar a correção e a confiabilidade dos lançamentos contábeis e dos procedimentos administrativos realizados pelos setores envolvidos no controle da arrecadação bem como verificar o atendimento das disposições constitucionais e legais pertinentes à correta aplicação daqueles que são vinculados a determinadas finalidades. Desse exame é possível afirmar que: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>a) Os valores recebidos a título de transferências constitucionais do Estado (ICMS, IPI) e da União (FPM), estão de acordo com os índices de participação nesses recursos estabelecidos pela legislação;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>b) Os recursos de transferências constitucionais, legais e voluntarias, vinculados a finalidades específicas, foram depositados e movimentados em contas bancárias específicas, atendendo ao disposto no art. 50, I, da Lei Complementar nº 101/2000.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 xml:space="preserve">c) Na execução dos recursos recebidos a título de transferências voluntárias, verificamos que, quando efetivamente devidas, foram efetuadas as prestações de contas, parciais ou totais, e o seu respectivo encaminhamento aos órgãos concessores. Também foi verificado que em alguns casos não foi observada a determinação posta no art. 2º, da Lei Federal nº 9.452/97, quanto à notificação compulsória desses recebimentos aos Partidos Políticos, Sindicatos de Trabalhadores e Entidades Empresariais com sede no Município, no prazo de até dois dias úteis contados da data de recebimento dos recursos. 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>d) Ainda, quanto a esses últimos, verificou-se que, conforme o art. 116, §§ 4º e 5º da Lei Federal nº 8.666/93, os mesmos foram aplicados em caderneta de poupança de instituição financeira oficial, nas hipóteses em que a previsão de uso foi igual ou superior a 30 dias, ou em fundo de aplicação financeira de curto prazo ou operação de mercado aberto lastreada em títulos da dívida pública quando a utilização deu-se em prazos menores que 30 dias e que os rendimentos dessas foram aplicados na sua vinculação original.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 xml:space="preserve">e) Quanto às transferências voluntárias realizadas pela União, por meio de convênio e/ou contrato de repasse, as mesmas estão regularmente sendo </w:t>
      </w:r>
      <w:r w:rsidRPr="0004208F">
        <w:rPr>
          <w:sz w:val="24"/>
          <w:szCs w:val="24"/>
        </w:rPr>
        <w:lastRenderedPageBreak/>
        <w:t xml:space="preserve">registradas no Portal dos Convênios (SICONV), permitindo aos órgãos repassadores do Governo Federal o controle em tempo real da execução das atividades contempladas no plano de trabalho. Além disso, os processos físicos são mantidos junto à Secretaria Municipal da Fazenda, com a documentação comprobatória dos atos realizados pelo Município. 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</w:p>
    <w:p w:rsidR="008814F7" w:rsidRPr="0004208F" w:rsidRDefault="008814F7" w:rsidP="008814F7">
      <w:pPr>
        <w:pStyle w:val="PargrafodaLista"/>
        <w:numPr>
          <w:ilvl w:val="0"/>
          <w:numId w:val="3"/>
        </w:numPr>
        <w:tabs>
          <w:tab w:val="left" w:pos="2268"/>
        </w:tabs>
        <w:spacing w:before="11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08F">
        <w:rPr>
          <w:rFonts w:ascii="Times New Roman" w:hAnsi="Times New Roman" w:cs="Times New Roman"/>
          <w:b/>
          <w:sz w:val="24"/>
          <w:szCs w:val="24"/>
        </w:rPr>
        <w:t xml:space="preserve"> Lançamento e Cobrança de Todos dos Tributos de Competência Municipal: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color w:val="000000"/>
          <w:sz w:val="24"/>
          <w:szCs w:val="24"/>
        </w:rPr>
      </w:pPr>
      <w:r w:rsidRPr="0004208F">
        <w:rPr>
          <w:color w:val="000000"/>
          <w:sz w:val="24"/>
          <w:szCs w:val="24"/>
        </w:rPr>
        <w:tab/>
        <w:t>Visando verificar a competência do Município quanto à efetiva instituição e cobrança dos tributos de competência municipal, o Controle Interno auditou os procedimentos relativos à constituição, cobrança e controle dos créditos tributários e não tributários do Município foram encontradas muitas regularidades, e também algumas irregularidades donde se extrai que: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>a) O setor não elabora os relatórios gerenciais e periódicos;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 xml:space="preserve">b) O município </w:t>
      </w:r>
      <w:r w:rsidR="00CD0D89">
        <w:rPr>
          <w:sz w:val="24"/>
          <w:szCs w:val="24"/>
        </w:rPr>
        <w:t xml:space="preserve">ainda  </w:t>
      </w:r>
      <w:r w:rsidR="001B16BF">
        <w:rPr>
          <w:sz w:val="24"/>
          <w:szCs w:val="24"/>
        </w:rPr>
        <w:t xml:space="preserve"> </w:t>
      </w:r>
      <w:r w:rsidR="00893305">
        <w:rPr>
          <w:sz w:val="24"/>
          <w:szCs w:val="24"/>
        </w:rPr>
        <w:t>está atualizando o</w:t>
      </w:r>
      <w:r w:rsidRPr="0004208F">
        <w:rPr>
          <w:sz w:val="24"/>
          <w:szCs w:val="24"/>
        </w:rPr>
        <w:t xml:space="preserve"> cadastro imobiliário, o mesmo deve ser atualizado a cada 5 anos. A área urbana do município sofreu alterações, foi aumentada, cresceu, e a falta de atualização do cadastro acaba prejudicando a receita do município, pois existem inúmeros imóveis que não estão cadastrados, e que deveriam estar pagando os tributos correspondentes, o que acarreta perda de receita para o município.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bookmarkStart w:id="0" w:name="_GoBack"/>
      <w:bookmarkEnd w:id="0"/>
      <w:r w:rsidRPr="0004208F">
        <w:rPr>
          <w:sz w:val="24"/>
          <w:szCs w:val="24"/>
        </w:rPr>
        <w:tab/>
        <w:t>d) Alguns parcelamentos não estão sendo pagos em dia, porém, o setor realizado no mínimo três notificações ao inadimplente antes de encaminhar para a cobrança judicial;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>e) As multas e os juros de mora aplicáveis aos tributos e demais receitas próprias pagas com atraso são calculados e cobrados de acordo com as disposições do Código Tributário Municipal, inclusive pela rede bancária. As guias de arrecadação identificam o nome do pagador, o valor arrecadado, a origem e classificação da receita, e contemplam a data e a assinatura/rubrica do agente responsável pelo recebimento, conforme o disposto no § 1º do art. 55 da Lei nº 4.320/64;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 xml:space="preserve">f) Quanto ao IPTU, verificamos que o cadastro imobiliário </w:t>
      </w:r>
      <w:r w:rsidR="00C6714A">
        <w:rPr>
          <w:sz w:val="24"/>
          <w:szCs w:val="24"/>
        </w:rPr>
        <w:t xml:space="preserve">está sendo </w:t>
      </w:r>
      <w:r w:rsidRPr="0004208F">
        <w:rPr>
          <w:sz w:val="24"/>
          <w:szCs w:val="24"/>
        </w:rPr>
        <w:t xml:space="preserve">atualizado, e não divide a área do Município em zonas fiscais para fins de avaliação do valor venal dos imóveis, não lhes conferindo pesos diferenciados segundo o </w:t>
      </w:r>
      <w:r w:rsidRPr="0004208F">
        <w:rPr>
          <w:sz w:val="24"/>
          <w:szCs w:val="24"/>
        </w:rPr>
        <w:lastRenderedPageBreak/>
        <w:t>maior/menor grau de serviços e infraestrutura urbana disponível, entre outros aspectos inerentes ao imóvel. Sendo assim, o mesmo valor é aplicado em todos os imóveis do município. A atualização do código tributário municipal encontra-se em andamento.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b/>
          <w:sz w:val="24"/>
          <w:szCs w:val="24"/>
        </w:rPr>
        <w:t xml:space="preserve">Recomendamos, </w:t>
      </w:r>
      <w:r w:rsidRPr="0004208F">
        <w:rPr>
          <w:sz w:val="24"/>
          <w:szCs w:val="24"/>
        </w:rPr>
        <w:t>que neste exercício de 201</w:t>
      </w:r>
      <w:r w:rsidR="00C6714A">
        <w:rPr>
          <w:sz w:val="24"/>
          <w:szCs w:val="24"/>
        </w:rPr>
        <w:t>8</w:t>
      </w:r>
      <w:r w:rsidRPr="0004208F">
        <w:rPr>
          <w:sz w:val="24"/>
          <w:szCs w:val="24"/>
        </w:rPr>
        <w:t xml:space="preserve"> o código tributário municipal seja completamente atualizado, juntamente com o cadastro imobiliário.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 xml:space="preserve">g) Ainda no IPTU, nem todos os imóveis estão cadastrados em nome dos respectivos proprietários, pelo fato do cadastro imobiliário não estar </w:t>
      </w:r>
      <w:r w:rsidR="00C6714A">
        <w:rPr>
          <w:sz w:val="24"/>
          <w:szCs w:val="24"/>
        </w:rPr>
        <w:t xml:space="preserve">totalmente </w:t>
      </w:r>
      <w:r w:rsidRPr="0004208F">
        <w:rPr>
          <w:sz w:val="24"/>
          <w:szCs w:val="24"/>
        </w:rPr>
        <w:t>atualizado.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 xml:space="preserve">h) Em relação ao ITBI, encontra-se o mesmo problema da desatualização do cadastro imobiliário e por este motivo a falta de veracidade da planta de valores, e o município não possui nem uma imobiliária ou corretora de imóveis, tornando difícil saber o valor de mercado praticado no município. 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>i) Além disso, não é realizada a avaliação dos imóveis, pelo fato de que nenhum dos servidores do setor tributação/fiscalização possuir competência técnica para tal. A avaliação deve ser feita por um profissional com registro no CREA ou corretor de imóveis.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>j) Referente ao habite-se, o setor exige um laudo de avaliação do engenheiro municipal, contudo, a maioria dos projetos são realizados por este engenheiro do município, e o mesmo alega que não pode fornecer um laudo de avaliação dos projetos que ele mesmo elabora. Como já foi citado anteriormente o setor não possui um servidor com a competência técnica para fornecer o habite-se e aprovar projetos de obras.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b/>
          <w:sz w:val="24"/>
          <w:szCs w:val="24"/>
        </w:rPr>
        <w:t>Recomendamos</w:t>
      </w:r>
      <w:r w:rsidRPr="0004208F">
        <w:rPr>
          <w:sz w:val="24"/>
          <w:szCs w:val="24"/>
        </w:rPr>
        <w:t>, que tanto a avaliação, aprovação de projetos de obras e a concessão do habite-se dos imóveis, seja realizado pelo setor de obras, e sejam realizadas pelo servidor que tem atribuição técnica para tais procedimentos. Além disso, o setor de fiscalização/tributação não é responsável por tais atividades.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 xml:space="preserve">k) Não foi instituída a contribuição de iluminação </w:t>
      </w:r>
      <w:proofErr w:type="spellStart"/>
      <w:r w:rsidRPr="0004208F">
        <w:rPr>
          <w:sz w:val="24"/>
          <w:szCs w:val="24"/>
        </w:rPr>
        <w:t>publica</w:t>
      </w:r>
      <w:proofErr w:type="spellEnd"/>
      <w:r w:rsidRPr="0004208F">
        <w:rPr>
          <w:sz w:val="24"/>
          <w:szCs w:val="24"/>
        </w:rPr>
        <w:t xml:space="preserve"> prevista no </w:t>
      </w:r>
      <w:proofErr w:type="spellStart"/>
      <w:r w:rsidRPr="0004208F">
        <w:rPr>
          <w:sz w:val="24"/>
          <w:szCs w:val="24"/>
        </w:rPr>
        <w:t>art</w:t>
      </w:r>
      <w:proofErr w:type="spellEnd"/>
      <w:r w:rsidRPr="0004208F">
        <w:rPr>
          <w:sz w:val="24"/>
          <w:szCs w:val="24"/>
        </w:rPr>
        <w:t xml:space="preserve"> 149-A da constituição federal, ferindo também o </w:t>
      </w:r>
      <w:proofErr w:type="spellStart"/>
      <w:r w:rsidRPr="0004208F">
        <w:rPr>
          <w:sz w:val="24"/>
          <w:szCs w:val="24"/>
        </w:rPr>
        <w:t>art</w:t>
      </w:r>
      <w:proofErr w:type="spellEnd"/>
      <w:r w:rsidRPr="0004208F">
        <w:rPr>
          <w:sz w:val="24"/>
          <w:szCs w:val="24"/>
        </w:rPr>
        <w:t xml:space="preserve"> 11 da LC 101/2000, que se refere a cobrança de todos os tributos de competência </w:t>
      </w:r>
      <w:proofErr w:type="gramStart"/>
      <w:r w:rsidRPr="0004208F">
        <w:rPr>
          <w:sz w:val="24"/>
          <w:szCs w:val="24"/>
        </w:rPr>
        <w:t>municipal..</w:t>
      </w:r>
      <w:proofErr w:type="gramEnd"/>
      <w:r w:rsidRPr="0004208F">
        <w:rPr>
          <w:sz w:val="24"/>
          <w:szCs w:val="24"/>
        </w:rPr>
        <w:t xml:space="preserve"> O executivo elaborou projeto de lei no exercício de 2014 para instituir tal contribuição, </w:t>
      </w:r>
      <w:proofErr w:type="spellStart"/>
      <w:r w:rsidRPr="0004208F">
        <w:rPr>
          <w:sz w:val="24"/>
          <w:szCs w:val="24"/>
        </w:rPr>
        <w:t>porem</w:t>
      </w:r>
      <w:proofErr w:type="spellEnd"/>
      <w:r w:rsidRPr="0004208F">
        <w:rPr>
          <w:sz w:val="24"/>
          <w:szCs w:val="24"/>
        </w:rPr>
        <w:t>, o legislativo não aprovou.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lastRenderedPageBreak/>
        <w:t>Recomendamos, que seja elaborado novo projeto de lei para constituição da contribuição e encaminhado ao legislativo municipal, salientando a importância legal e financeira para o município.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proofErr w:type="gramStart"/>
      <w:r w:rsidRPr="0004208F">
        <w:rPr>
          <w:sz w:val="24"/>
          <w:szCs w:val="24"/>
        </w:rPr>
        <w:t>.</w:t>
      </w:r>
      <w:proofErr w:type="spellStart"/>
      <w:r w:rsidRPr="0004208F">
        <w:rPr>
          <w:sz w:val="24"/>
          <w:szCs w:val="24"/>
        </w:rPr>
        <w:t>Obs</w:t>
      </w:r>
      <w:proofErr w:type="spellEnd"/>
      <w:proofErr w:type="gramEnd"/>
      <w:r w:rsidRPr="0004208F">
        <w:rPr>
          <w:sz w:val="24"/>
          <w:szCs w:val="24"/>
        </w:rPr>
        <w:t>: A Grande maioria dos apontamentos citados, já foram apontados no relatório mensal de fevereiro de 2015, o que comprova que as falhas não foram sanadas.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</w:p>
    <w:p w:rsidR="008814F7" w:rsidRPr="0004208F" w:rsidRDefault="008814F7" w:rsidP="008814F7">
      <w:pPr>
        <w:pStyle w:val="PargrafodaLista"/>
        <w:numPr>
          <w:ilvl w:val="0"/>
          <w:numId w:val="3"/>
        </w:numPr>
        <w:tabs>
          <w:tab w:val="left" w:pos="2268"/>
        </w:tabs>
        <w:spacing w:before="11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08F">
        <w:rPr>
          <w:rFonts w:ascii="Times New Roman" w:hAnsi="Times New Roman" w:cs="Times New Roman"/>
          <w:b/>
          <w:sz w:val="24"/>
          <w:szCs w:val="24"/>
        </w:rPr>
        <w:t xml:space="preserve"> Cobrança da Dívida Ativa e dos Títulos Executivos Emitidos pelo TCE/RS: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>Em relação a esse item de verificação compulsória ponderamos que foram avaliadas as providências tomadas pela administração para receber as receitas não recolhidas, no prazo de vencimento. Sendo assim:</w:t>
      </w:r>
      <w:r w:rsidRPr="0004208F">
        <w:rPr>
          <w:sz w:val="24"/>
          <w:szCs w:val="24"/>
        </w:rPr>
        <w:tab/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 xml:space="preserve">a) Estão inscritos em dívida ativa quase todos os créditos tributários e não tributários lançados e não arrecadados pelo Município, no prazo de vencimento, sendo que a Administração Municipal, através do setor de tributação/fiscalização efetivamente, efetua a cobrança da dívida ativa, nas esferas administrativa e judicial, como forma de incrementar a arrecadação e evitar a prescrição dos créditos. As que não estão escritas em </w:t>
      </w:r>
      <w:proofErr w:type="spellStart"/>
      <w:r w:rsidRPr="0004208F">
        <w:rPr>
          <w:sz w:val="24"/>
          <w:szCs w:val="24"/>
        </w:rPr>
        <w:t>divida</w:t>
      </w:r>
      <w:proofErr w:type="spellEnd"/>
      <w:r w:rsidRPr="0004208F">
        <w:rPr>
          <w:sz w:val="24"/>
          <w:szCs w:val="24"/>
        </w:rPr>
        <w:t xml:space="preserve"> ativa, são aquelas que ainda estão sendo cobradas administrativamente ou pelo valor não cobrir o custo da cobrança em si, mas a grande maioria já </w:t>
      </w:r>
      <w:proofErr w:type="spellStart"/>
      <w:r w:rsidRPr="0004208F">
        <w:rPr>
          <w:sz w:val="24"/>
          <w:szCs w:val="24"/>
        </w:rPr>
        <w:t>esta</w:t>
      </w:r>
      <w:proofErr w:type="spellEnd"/>
      <w:r w:rsidRPr="0004208F">
        <w:rPr>
          <w:sz w:val="24"/>
          <w:szCs w:val="24"/>
        </w:rPr>
        <w:t xml:space="preserve"> no setor jurídico para a cobrança judicial, conforme o relatório encaminhado do setor jurídico a UCCI.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 xml:space="preserve"> </w:t>
      </w:r>
      <w:r w:rsidRPr="0004208F">
        <w:rPr>
          <w:sz w:val="24"/>
          <w:szCs w:val="24"/>
        </w:rPr>
        <w:tab/>
        <w:t>b) Todas as ocorrências de baixas de valores inscritos em dívida ativa tem o devido amparo legal, sendo que os casos de remissão de crédito tributários foram autorizados com fulcro no art. 172 do Código Tributário Nacional (Lei Federal nº 5.172/66) e de acordo com os critérios estabelecidos na Lei Municipal.</w:t>
      </w:r>
    </w:p>
    <w:p w:rsidR="008814F7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 w:rsidRPr="0004208F">
        <w:rPr>
          <w:sz w:val="24"/>
          <w:szCs w:val="24"/>
        </w:rPr>
        <w:tab/>
        <w:t>c) Quanto aos títulos executivos emitidos pelo Tribunal de Contas do Estado, verificou-se o atendimento das disposições contidas na Resolução nº 897/2010, daquela Corte de Contas, especialmente quanto: ao registro contábil, em contas próprias, dos créditos e dos valores arrecadados; à adoção de medidas administrativas ou judiciais para a cobrança dos créditos expressos nas Certidões de Decisão – Títulos Executivos; à prestação de informações tempestivas à Direção-Geral do Tribunal de Contas acerca das medidas de cobrança adotadas, inclusive com a remessa de documentação comprobatória.</w:t>
      </w:r>
    </w:p>
    <w:p w:rsidR="008814F7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Diante do exposto a unidade central de controle interno emite parecer favorável aos dados acima relatos, porém, deve-se levar em conta as recomendações emitidas por esta UCCI.</w:t>
      </w:r>
    </w:p>
    <w:p w:rsidR="008814F7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 o relatório</w:t>
      </w:r>
    </w:p>
    <w:p w:rsidR="008814F7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</w:p>
    <w:p w:rsidR="008814F7" w:rsidRDefault="00C6714A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JOELTON FIORENTIN</w:t>
      </w:r>
    </w:p>
    <w:p w:rsidR="008814F7" w:rsidRPr="0004208F" w:rsidRDefault="008814F7" w:rsidP="008814F7">
      <w:pPr>
        <w:tabs>
          <w:tab w:val="left" w:pos="2268"/>
        </w:tabs>
        <w:spacing w:before="119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Agente de Controle Interno</w:t>
      </w:r>
      <w:r w:rsidR="00C6714A">
        <w:rPr>
          <w:sz w:val="24"/>
          <w:szCs w:val="24"/>
        </w:rPr>
        <w:t xml:space="preserve"> temporário.</w:t>
      </w:r>
    </w:p>
    <w:p w:rsidR="007316AD" w:rsidRDefault="007316AD"/>
    <w:sectPr w:rsidR="00731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6A3C"/>
    <w:multiLevelType w:val="hybridMultilevel"/>
    <w:tmpl w:val="48C2B39E"/>
    <w:lvl w:ilvl="0" w:tplc="0D54C94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143B"/>
    <w:multiLevelType w:val="hybridMultilevel"/>
    <w:tmpl w:val="23CA60F4"/>
    <w:lvl w:ilvl="0" w:tplc="F9922210">
      <w:start w:val="6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40650EF"/>
    <w:multiLevelType w:val="hybridMultilevel"/>
    <w:tmpl w:val="AC3E400A"/>
    <w:lvl w:ilvl="0" w:tplc="C6F2B18A">
      <w:start w:val="1"/>
      <w:numFmt w:val="lowerLetter"/>
      <w:lvlText w:val="%1)"/>
      <w:lvlJc w:val="left"/>
      <w:pPr>
        <w:ind w:left="10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39A58DD"/>
    <w:multiLevelType w:val="hybridMultilevel"/>
    <w:tmpl w:val="701C7906"/>
    <w:lvl w:ilvl="0" w:tplc="CCF42F78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0EA1253"/>
    <w:multiLevelType w:val="hybridMultilevel"/>
    <w:tmpl w:val="02083F40"/>
    <w:lvl w:ilvl="0" w:tplc="4C3CF2F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F7"/>
    <w:rsid w:val="000A7AAA"/>
    <w:rsid w:val="001B16BF"/>
    <w:rsid w:val="002E683C"/>
    <w:rsid w:val="00326AEA"/>
    <w:rsid w:val="005F49A8"/>
    <w:rsid w:val="007316AD"/>
    <w:rsid w:val="0076107B"/>
    <w:rsid w:val="007B3231"/>
    <w:rsid w:val="008814F7"/>
    <w:rsid w:val="00893305"/>
    <w:rsid w:val="009D3835"/>
    <w:rsid w:val="009E4510"/>
    <w:rsid w:val="00A21325"/>
    <w:rsid w:val="00C6714A"/>
    <w:rsid w:val="00CB0FBE"/>
    <w:rsid w:val="00CD0D89"/>
    <w:rsid w:val="00ED20AA"/>
    <w:rsid w:val="00F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B41F0-DF32-4EEB-9FBB-D5036803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14F7"/>
    <w:pPr>
      <w:spacing w:before="120"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8814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814F7"/>
    <w:pPr>
      <w:tabs>
        <w:tab w:val="left" w:pos="4253"/>
      </w:tabs>
      <w:spacing w:before="120" w:line="360" w:lineRule="auto"/>
      <w:jc w:val="center"/>
      <w:outlineLvl w:val="0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8814F7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814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8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1">
    <w:name w:val="Recuo de corpo de texto 21"/>
    <w:basedOn w:val="Normal"/>
    <w:rsid w:val="008814F7"/>
    <w:pPr>
      <w:spacing w:after="120" w:line="480" w:lineRule="auto"/>
      <w:ind w:left="283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2895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2020-01-17T14:18:00Z</dcterms:created>
  <dcterms:modified xsi:type="dcterms:W3CDTF">2020-01-17T15:16:00Z</dcterms:modified>
</cp:coreProperties>
</file>