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07" w:rsidRPr="00B05DB9" w:rsidRDefault="002C2907" w:rsidP="002C2907">
      <w:pPr>
        <w:spacing w:line="360" w:lineRule="auto"/>
        <w:jc w:val="center"/>
        <w:rPr>
          <w:rFonts w:ascii="Arial" w:hAnsi="Arial" w:cs="Arial"/>
        </w:rPr>
      </w:pPr>
      <w:r>
        <w:rPr>
          <w:rFonts w:ascii="Arial" w:hAnsi="Arial" w:cs="Arial"/>
          <w:b/>
        </w:rPr>
        <w:t>TERMO DE REFERÊNCIA</w:t>
      </w:r>
      <w:r w:rsidRPr="00B05DB9">
        <w:rPr>
          <w:rFonts w:ascii="Arial" w:hAnsi="Arial" w:cs="Arial"/>
          <w:b/>
        </w:rPr>
        <w:t xml:space="preserve"> PARA </w:t>
      </w:r>
      <w:r>
        <w:rPr>
          <w:rFonts w:ascii="Arial" w:hAnsi="Arial" w:cs="Arial"/>
          <w:b/>
          <w:bCs/>
        </w:rPr>
        <w:t>AQUISIÇÃO DE CÂMARA DE CONSERVAÇÃO DE IMUNOBIOLOGICOS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556"/>
        <w:gridCol w:w="683"/>
        <w:gridCol w:w="5856"/>
        <w:gridCol w:w="1409"/>
        <w:gridCol w:w="1284"/>
      </w:tblGrid>
      <w:tr w:rsidR="002C2907" w:rsidRPr="00F91B6B" w:rsidTr="00E07855">
        <w:trPr>
          <w:trHeight w:val="141"/>
        </w:trPr>
        <w:tc>
          <w:tcPr>
            <w:tcW w:w="844" w:type="dxa"/>
          </w:tcPr>
          <w:p w:rsidR="002C2907" w:rsidRPr="00F91B6B" w:rsidRDefault="002C2907" w:rsidP="00E07855">
            <w:pPr>
              <w:jc w:val="center"/>
              <w:rPr>
                <w:rFonts w:ascii="Arial" w:hAnsi="Arial" w:cs="Arial"/>
                <w:b/>
              </w:rPr>
            </w:pPr>
            <w:r w:rsidRPr="00F91B6B">
              <w:rPr>
                <w:rFonts w:ascii="Arial" w:hAnsi="Arial" w:cs="Arial"/>
                <w:b/>
              </w:rPr>
              <w:t>Item</w:t>
            </w:r>
          </w:p>
        </w:tc>
        <w:tc>
          <w:tcPr>
            <w:tcW w:w="556" w:type="dxa"/>
          </w:tcPr>
          <w:p w:rsidR="002C2907" w:rsidRPr="00F91B6B" w:rsidRDefault="002C2907" w:rsidP="00E07855">
            <w:pPr>
              <w:jc w:val="center"/>
              <w:rPr>
                <w:rFonts w:ascii="Arial" w:hAnsi="Arial" w:cs="Arial"/>
                <w:b/>
              </w:rPr>
            </w:pPr>
            <w:proofErr w:type="spellStart"/>
            <w:r>
              <w:rPr>
                <w:rFonts w:ascii="Arial" w:hAnsi="Arial" w:cs="Arial"/>
                <w:b/>
              </w:rPr>
              <w:t>Qt</w:t>
            </w:r>
            <w:proofErr w:type="spellEnd"/>
            <w:r>
              <w:rPr>
                <w:rFonts w:ascii="Arial" w:hAnsi="Arial" w:cs="Arial"/>
                <w:b/>
              </w:rPr>
              <w:t xml:space="preserve"> </w:t>
            </w:r>
          </w:p>
        </w:tc>
        <w:tc>
          <w:tcPr>
            <w:tcW w:w="683" w:type="dxa"/>
            <w:shd w:val="clear" w:color="auto" w:fill="auto"/>
          </w:tcPr>
          <w:p w:rsidR="002C2907" w:rsidRPr="00F91B6B" w:rsidRDefault="002C2907" w:rsidP="00E07855">
            <w:pPr>
              <w:jc w:val="center"/>
              <w:rPr>
                <w:rFonts w:ascii="Arial" w:hAnsi="Arial" w:cs="Arial"/>
                <w:b/>
              </w:rPr>
            </w:pPr>
            <w:proofErr w:type="spellStart"/>
            <w:r>
              <w:rPr>
                <w:rFonts w:ascii="Arial" w:hAnsi="Arial" w:cs="Arial"/>
                <w:b/>
              </w:rPr>
              <w:t>Und</w:t>
            </w:r>
            <w:proofErr w:type="spellEnd"/>
            <w:r>
              <w:rPr>
                <w:rFonts w:ascii="Arial" w:hAnsi="Arial" w:cs="Arial"/>
                <w:b/>
              </w:rPr>
              <w:t xml:space="preserve"> </w:t>
            </w:r>
          </w:p>
        </w:tc>
        <w:tc>
          <w:tcPr>
            <w:tcW w:w="5856" w:type="dxa"/>
            <w:shd w:val="clear" w:color="auto" w:fill="auto"/>
          </w:tcPr>
          <w:p w:rsidR="002C2907" w:rsidRPr="00F91B6B" w:rsidRDefault="002C2907" w:rsidP="00E07855">
            <w:pPr>
              <w:jc w:val="center"/>
              <w:rPr>
                <w:rFonts w:ascii="Arial" w:hAnsi="Arial" w:cs="Arial"/>
                <w:b/>
              </w:rPr>
            </w:pPr>
            <w:r w:rsidRPr="00F91B6B">
              <w:rPr>
                <w:rFonts w:ascii="Arial" w:hAnsi="Arial" w:cs="Arial"/>
                <w:b/>
              </w:rPr>
              <w:t>DESCRIÇÃO</w:t>
            </w:r>
          </w:p>
        </w:tc>
        <w:tc>
          <w:tcPr>
            <w:tcW w:w="1409" w:type="dxa"/>
          </w:tcPr>
          <w:p w:rsidR="002C2907" w:rsidRPr="00F91B6B" w:rsidRDefault="002C2907" w:rsidP="00E07855">
            <w:pPr>
              <w:jc w:val="center"/>
              <w:rPr>
                <w:rFonts w:ascii="Arial" w:hAnsi="Arial" w:cs="Arial"/>
                <w:b/>
              </w:rPr>
            </w:pPr>
            <w:proofErr w:type="spellStart"/>
            <w:r>
              <w:rPr>
                <w:rFonts w:ascii="Arial" w:hAnsi="Arial" w:cs="Arial"/>
                <w:b/>
              </w:rPr>
              <w:t>Vrl</w:t>
            </w:r>
            <w:proofErr w:type="spellEnd"/>
            <w:r>
              <w:rPr>
                <w:rFonts w:ascii="Arial" w:hAnsi="Arial" w:cs="Arial"/>
                <w:b/>
              </w:rPr>
              <w:t xml:space="preserve">. </w:t>
            </w:r>
            <w:proofErr w:type="spellStart"/>
            <w:proofErr w:type="gramStart"/>
            <w:r>
              <w:rPr>
                <w:rFonts w:ascii="Arial" w:hAnsi="Arial" w:cs="Arial"/>
                <w:b/>
              </w:rPr>
              <w:t>unt</w:t>
            </w:r>
            <w:proofErr w:type="spellEnd"/>
            <w:proofErr w:type="gramEnd"/>
          </w:p>
        </w:tc>
        <w:tc>
          <w:tcPr>
            <w:tcW w:w="1284" w:type="dxa"/>
          </w:tcPr>
          <w:p w:rsidR="002C2907" w:rsidRPr="00F91B6B" w:rsidRDefault="002C2907" w:rsidP="00E07855">
            <w:pPr>
              <w:jc w:val="center"/>
              <w:rPr>
                <w:rFonts w:ascii="Arial" w:hAnsi="Arial" w:cs="Arial"/>
                <w:b/>
              </w:rPr>
            </w:pPr>
            <w:proofErr w:type="spellStart"/>
            <w:r>
              <w:rPr>
                <w:rFonts w:ascii="Arial" w:hAnsi="Arial" w:cs="Arial"/>
                <w:b/>
              </w:rPr>
              <w:t>Vlr</w:t>
            </w:r>
            <w:proofErr w:type="spellEnd"/>
            <w:r>
              <w:rPr>
                <w:rFonts w:ascii="Arial" w:hAnsi="Arial" w:cs="Arial"/>
                <w:b/>
              </w:rPr>
              <w:t xml:space="preserve">. </w:t>
            </w:r>
            <w:proofErr w:type="spellStart"/>
            <w:proofErr w:type="gramStart"/>
            <w:r>
              <w:rPr>
                <w:rFonts w:ascii="Arial" w:hAnsi="Arial" w:cs="Arial"/>
                <w:b/>
              </w:rPr>
              <w:t>tot</w:t>
            </w:r>
            <w:proofErr w:type="spellEnd"/>
            <w:proofErr w:type="gramEnd"/>
          </w:p>
        </w:tc>
      </w:tr>
      <w:tr w:rsidR="002C2907" w:rsidRPr="00F91B6B" w:rsidTr="00E07855">
        <w:trPr>
          <w:trHeight w:val="141"/>
        </w:trPr>
        <w:tc>
          <w:tcPr>
            <w:tcW w:w="844" w:type="dxa"/>
            <w:vAlign w:val="center"/>
          </w:tcPr>
          <w:p w:rsidR="002C2907" w:rsidRDefault="002C2907" w:rsidP="00E07855">
            <w:pPr>
              <w:jc w:val="center"/>
              <w:rPr>
                <w:rFonts w:ascii="Arial" w:hAnsi="Arial" w:cs="Arial"/>
              </w:rPr>
            </w:pPr>
            <w:r>
              <w:rPr>
                <w:rFonts w:ascii="Arial" w:hAnsi="Arial" w:cs="Arial"/>
              </w:rPr>
              <w:t>01</w:t>
            </w:r>
          </w:p>
        </w:tc>
        <w:tc>
          <w:tcPr>
            <w:tcW w:w="556" w:type="dxa"/>
          </w:tcPr>
          <w:p w:rsidR="002C2907" w:rsidRDefault="002C2907" w:rsidP="00E07855">
            <w:pPr>
              <w:jc w:val="center"/>
              <w:rPr>
                <w:rFonts w:ascii="Arial" w:hAnsi="Arial" w:cs="Arial"/>
              </w:rPr>
            </w:pPr>
          </w:p>
          <w:p w:rsidR="002C2907" w:rsidRDefault="002C2907" w:rsidP="00E07855">
            <w:pPr>
              <w:jc w:val="center"/>
              <w:rPr>
                <w:rFonts w:ascii="Arial" w:hAnsi="Arial" w:cs="Arial"/>
              </w:rPr>
            </w:pPr>
            <w:r>
              <w:rPr>
                <w:rFonts w:ascii="Arial" w:hAnsi="Arial" w:cs="Arial"/>
              </w:rPr>
              <w:t>01</w:t>
            </w:r>
          </w:p>
        </w:tc>
        <w:tc>
          <w:tcPr>
            <w:tcW w:w="683" w:type="dxa"/>
            <w:shd w:val="clear" w:color="auto" w:fill="auto"/>
            <w:vAlign w:val="center"/>
          </w:tcPr>
          <w:p w:rsidR="002C2907" w:rsidRDefault="002C2907" w:rsidP="00E07855">
            <w:pPr>
              <w:jc w:val="center"/>
              <w:rPr>
                <w:rFonts w:ascii="Arial" w:hAnsi="Arial" w:cs="Arial"/>
              </w:rPr>
            </w:pPr>
            <w:proofErr w:type="spellStart"/>
            <w:proofErr w:type="gramStart"/>
            <w:r>
              <w:rPr>
                <w:rFonts w:ascii="Arial" w:hAnsi="Arial" w:cs="Arial"/>
              </w:rPr>
              <w:t>und</w:t>
            </w:r>
            <w:proofErr w:type="spellEnd"/>
            <w:proofErr w:type="gramEnd"/>
          </w:p>
        </w:tc>
        <w:tc>
          <w:tcPr>
            <w:tcW w:w="5856" w:type="dxa"/>
            <w:shd w:val="clear" w:color="auto" w:fill="auto"/>
          </w:tcPr>
          <w:p w:rsidR="002C2907" w:rsidRPr="00377DF2" w:rsidRDefault="002C2907" w:rsidP="00E07855">
            <w:pPr>
              <w:autoSpaceDE w:val="0"/>
              <w:autoSpaceDN w:val="0"/>
              <w:adjustRightInd w:val="0"/>
              <w:jc w:val="both"/>
              <w:rPr>
                <w:rFonts w:ascii="Arial" w:hAnsi="Arial" w:cs="Arial"/>
                <w:color w:val="000000"/>
              </w:rPr>
            </w:pPr>
            <w:r>
              <w:rPr>
                <w:rFonts w:ascii="Arial" w:hAnsi="Arial" w:cs="Arial"/>
                <w:color w:val="000000"/>
              </w:rPr>
              <w:t xml:space="preserve">Câmara para conservação de </w:t>
            </w:r>
            <w:proofErr w:type="spellStart"/>
            <w:r>
              <w:rPr>
                <w:rFonts w:ascii="Arial" w:hAnsi="Arial" w:cs="Arial"/>
                <w:color w:val="000000"/>
              </w:rPr>
              <w:t>imunobiológicos</w:t>
            </w:r>
            <w:proofErr w:type="spellEnd"/>
            <w:r>
              <w:rPr>
                <w:rFonts w:ascii="Arial" w:hAnsi="Arial" w:cs="Arial"/>
                <w:color w:val="000000"/>
              </w:rPr>
              <w:t xml:space="preserve">, para armazenagem de </w:t>
            </w:r>
            <w:proofErr w:type="spellStart"/>
            <w:r>
              <w:rPr>
                <w:rFonts w:ascii="Arial" w:hAnsi="Arial" w:cs="Arial"/>
                <w:color w:val="000000"/>
              </w:rPr>
              <w:t>termolábeis</w:t>
            </w:r>
            <w:proofErr w:type="spellEnd"/>
            <w:r>
              <w:rPr>
                <w:rFonts w:ascii="Arial" w:hAnsi="Arial" w:cs="Arial"/>
                <w:color w:val="000000"/>
              </w:rPr>
              <w:t xml:space="preserve"> com capacidade interna mínima de 280 litros. Tensão 110/220 volts. Temperatura mínima de trabalho de 2º e máxima de 8º C, com ponto fixo em 4ºC. Iluminação interna automática quando da abertura da porta ou temporizada. Refrigeração através de compressor hermético, e gás R – 134 a Isento de CFC; Tecnologia de resfriamento com degelo automático. Gabinete externo e interno em aço inoxidável para evitar corrosão. Porta de vidro duplo ou triplo transparente, com sistema </w:t>
            </w:r>
            <w:proofErr w:type="spellStart"/>
            <w:r>
              <w:rPr>
                <w:rFonts w:ascii="Arial" w:hAnsi="Arial" w:cs="Arial"/>
                <w:color w:val="000000"/>
              </w:rPr>
              <w:t>antiembaçante</w:t>
            </w:r>
            <w:proofErr w:type="spellEnd"/>
            <w:r>
              <w:rPr>
                <w:rFonts w:ascii="Arial" w:hAnsi="Arial" w:cs="Arial"/>
                <w:color w:val="000000"/>
              </w:rPr>
              <w:t xml:space="preserve"> (“no fog”), abertura vertical e fechamento automático com vedação de perfil magnético. Prateleiras em quantidade igual ou superior a 05 unidades. Painel de comando tipo membrana, montado na parte superior da Câmara, dotado de chave geral, fusíveis de proteção, teclas soft-</w:t>
            </w:r>
            <w:proofErr w:type="spellStart"/>
            <w:r>
              <w:rPr>
                <w:rFonts w:ascii="Arial" w:hAnsi="Arial" w:cs="Arial"/>
                <w:color w:val="000000"/>
              </w:rPr>
              <w:t>touch</w:t>
            </w:r>
            <w:proofErr w:type="spellEnd"/>
            <w:r>
              <w:rPr>
                <w:rFonts w:ascii="Arial" w:hAnsi="Arial" w:cs="Arial"/>
                <w:color w:val="000000"/>
              </w:rPr>
              <w:t xml:space="preserve">, termostato eletrônico </w:t>
            </w:r>
            <w:proofErr w:type="spellStart"/>
            <w:r>
              <w:rPr>
                <w:rFonts w:ascii="Arial" w:hAnsi="Arial" w:cs="Arial"/>
                <w:color w:val="000000"/>
              </w:rPr>
              <w:t>micro-processado</w:t>
            </w:r>
            <w:proofErr w:type="spellEnd"/>
            <w:r>
              <w:rPr>
                <w:rFonts w:ascii="Arial" w:hAnsi="Arial" w:cs="Arial"/>
                <w:color w:val="000000"/>
              </w:rPr>
              <w:t xml:space="preserve"> com mostrador digital da temperatura e dos parâmetros de programação, sistema de travamento da programação, sensores para controle das temperaturas, sistema que restabelece os parâmetros mesmo com variação brusca da energia. Display em LCD, indicação visual de equipamento ligado, alarmes, energia utilizada, de falta de energia elétrica e desvios de temperatura. Sistema de emergência para falta de energia elétrica integrado ao gabinete do equipamento e do mesmo fabricante, que mantenha todas as funções eletroeletrônicas, inclusive compressor de frio, por um período mínimo de 48 horas. Controlador da tensão elétrica que monitora e aciona o sistema de emergência caso ocorra instabilidade da energia elétrica. Emite dados de performance via data-</w:t>
            </w:r>
            <w:proofErr w:type="spellStart"/>
            <w:r>
              <w:rPr>
                <w:rFonts w:ascii="Arial" w:hAnsi="Arial" w:cs="Arial"/>
                <w:color w:val="000000"/>
              </w:rPr>
              <w:t>logger</w:t>
            </w:r>
            <w:proofErr w:type="spellEnd"/>
            <w:r>
              <w:rPr>
                <w:rFonts w:ascii="Arial" w:hAnsi="Arial" w:cs="Arial"/>
                <w:color w:val="000000"/>
              </w:rPr>
              <w:t xml:space="preserve">; software de gerenciamento e emissão de relatórios e gráficos. Permite o gerenciamento a distância via internet. Sistema de discador telefônico que realiza chamadas telefônicas para até três responsáveis, sempre que a temperatura estiver em nível crítico. </w:t>
            </w:r>
          </w:p>
        </w:tc>
        <w:tc>
          <w:tcPr>
            <w:tcW w:w="1409" w:type="dxa"/>
          </w:tcPr>
          <w:p w:rsidR="002C2907" w:rsidRDefault="002C2907" w:rsidP="00E07855">
            <w:pPr>
              <w:autoSpaceDE w:val="0"/>
              <w:autoSpaceDN w:val="0"/>
              <w:adjustRightInd w:val="0"/>
              <w:jc w:val="both"/>
              <w:rPr>
                <w:rFonts w:ascii="Arial" w:hAnsi="Arial" w:cs="Arial"/>
                <w:color w:val="000000"/>
              </w:rPr>
            </w:pPr>
            <w:r>
              <w:rPr>
                <w:rFonts w:ascii="Arial" w:hAnsi="Arial" w:cs="Arial"/>
                <w:color w:val="000000"/>
              </w:rPr>
              <w:t>13.702,50</w:t>
            </w:r>
          </w:p>
        </w:tc>
        <w:tc>
          <w:tcPr>
            <w:tcW w:w="1284" w:type="dxa"/>
          </w:tcPr>
          <w:p w:rsidR="002C2907" w:rsidRDefault="002C2907" w:rsidP="00E07855">
            <w:pPr>
              <w:autoSpaceDE w:val="0"/>
              <w:autoSpaceDN w:val="0"/>
              <w:adjustRightInd w:val="0"/>
              <w:jc w:val="both"/>
              <w:rPr>
                <w:rFonts w:ascii="Arial" w:hAnsi="Arial" w:cs="Arial"/>
                <w:color w:val="000000"/>
              </w:rPr>
            </w:pPr>
            <w:r>
              <w:rPr>
                <w:rFonts w:ascii="Arial" w:hAnsi="Arial" w:cs="Arial"/>
                <w:color w:val="000000"/>
              </w:rPr>
              <w:t>13.702,50</w:t>
            </w:r>
          </w:p>
        </w:tc>
      </w:tr>
    </w:tbl>
    <w:p w:rsidR="002C2907" w:rsidRDefault="002C2907" w:rsidP="002C2907">
      <w:pPr>
        <w:spacing w:line="360" w:lineRule="auto"/>
        <w:rPr>
          <w:rFonts w:ascii="Arial" w:hAnsi="Arial" w:cs="Arial"/>
          <w:b/>
        </w:rPr>
      </w:pPr>
    </w:p>
    <w:p w:rsidR="002C2907" w:rsidRPr="00B05DB9" w:rsidRDefault="002C2907" w:rsidP="002C2907">
      <w:pPr>
        <w:spacing w:line="360" w:lineRule="auto"/>
        <w:ind w:left="4956" w:firstLine="708"/>
        <w:rPr>
          <w:rFonts w:ascii="Arial" w:hAnsi="Arial" w:cs="Arial"/>
        </w:rPr>
      </w:pPr>
      <w:r>
        <w:rPr>
          <w:rFonts w:ascii="Arial" w:hAnsi="Arial" w:cs="Arial"/>
        </w:rPr>
        <w:t>Lauro Rodrigues Vieira</w:t>
      </w:r>
      <w:r w:rsidRPr="00B05DB9">
        <w:rPr>
          <w:rFonts w:ascii="Arial" w:hAnsi="Arial" w:cs="Arial"/>
        </w:rPr>
        <w:t>,</w:t>
      </w:r>
    </w:p>
    <w:p w:rsidR="002C2907" w:rsidRDefault="002C2907" w:rsidP="002C2907">
      <w:pPr>
        <w:spacing w:line="360" w:lineRule="auto"/>
        <w:ind w:left="1418"/>
        <w:jc w:val="center"/>
        <w:rPr>
          <w:rFonts w:ascii="Arial" w:hAnsi="Arial" w:cs="Arial"/>
        </w:rPr>
      </w:pPr>
      <w:r>
        <w:rPr>
          <w:rFonts w:ascii="Arial" w:hAnsi="Arial" w:cs="Arial"/>
        </w:rPr>
        <w:t xml:space="preserve">                                 </w:t>
      </w:r>
      <w:r>
        <w:rPr>
          <w:rFonts w:ascii="Arial" w:hAnsi="Arial" w:cs="Arial"/>
        </w:rPr>
        <w:t xml:space="preserve">                         </w:t>
      </w:r>
      <w:bookmarkStart w:id="0" w:name="_GoBack"/>
      <w:bookmarkEnd w:id="0"/>
      <w:r>
        <w:rPr>
          <w:rFonts w:ascii="Arial" w:hAnsi="Arial" w:cs="Arial"/>
        </w:rPr>
        <w:t xml:space="preserve"> </w:t>
      </w:r>
      <w:r w:rsidRPr="00B05DB9">
        <w:rPr>
          <w:rFonts w:ascii="Arial" w:hAnsi="Arial" w:cs="Arial"/>
        </w:rPr>
        <w:t>Prefeito Municipal.</w:t>
      </w:r>
    </w:p>
    <w:p w:rsidR="002D26CE" w:rsidRDefault="002D26CE"/>
    <w:sectPr w:rsidR="002D26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07"/>
    <w:rsid w:val="002C2907"/>
    <w:rsid w:val="002D2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069C7-0F29-4589-8AA4-5570A93F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9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cp:revision>
  <dcterms:created xsi:type="dcterms:W3CDTF">2017-05-03T16:09:00Z</dcterms:created>
  <dcterms:modified xsi:type="dcterms:W3CDTF">2017-05-03T16:10:00Z</dcterms:modified>
</cp:coreProperties>
</file>