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95" w:rsidRPr="005D7195" w:rsidRDefault="005D7195" w:rsidP="005D719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CONTRATO Nº 185/2021, REF. ÀO PREGÃO PRESENCIAL Nº 18/2021, REGISTRO DE PREÇO Nº 05/2021</w:t>
      </w:r>
    </w:p>
    <w:p w:rsidR="005D7195" w:rsidRPr="005D7195" w:rsidRDefault="005D7195" w:rsidP="005D719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5D7195">
        <w:rPr>
          <w:rFonts w:ascii="Arial" w:eastAsia="Times New Roman" w:hAnsi="Arial" w:cs="Arial"/>
          <w:szCs w:val="20"/>
          <w:lang w:eastAsia="pt-BR"/>
        </w:rPr>
        <w:t>60588448661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: RICHARD PANAZZOLO FUCHS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, inscrita no CNPJ/MF 43.494.429/0001-95, com sede junto à Rua do Comércio, S/Nº, Sala 01, neste Município de São José do Herval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Richard </w:t>
      </w:r>
      <w:proofErr w:type="spellStart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Panazzolo</w:t>
      </w:r>
      <w:proofErr w:type="spellEnd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Fuchs</w:t>
      </w:r>
      <w:proofErr w:type="spellEnd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portador do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CPF Nº 859.766.010-49 e RG nº 5130737835, resolvem celebrar o presente contrato, nos termos da Lei nº 8.666/93 e suas alterações, mediante das cláusulas e condições seguintes: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7195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5D7195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6563"/>
        <w:gridCol w:w="1801"/>
      </w:tblGrid>
      <w:tr w:rsidR="005D7195" w:rsidRPr="005D7195" w:rsidTr="00740195">
        <w:tc>
          <w:tcPr>
            <w:tcW w:w="851" w:type="dxa"/>
          </w:tcPr>
          <w:p w:rsidR="005D7195" w:rsidRPr="005D7195" w:rsidRDefault="005D7195" w:rsidP="005D71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7195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563" w:type="dxa"/>
          </w:tcPr>
          <w:p w:rsidR="005D7195" w:rsidRPr="005D7195" w:rsidRDefault="005D7195" w:rsidP="005D71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01" w:type="dxa"/>
          </w:tcPr>
          <w:p w:rsidR="005D7195" w:rsidRPr="005D7195" w:rsidRDefault="005D7195" w:rsidP="005D71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7195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5D719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D7195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5D7195">
              <w:rPr>
                <w:rFonts w:ascii="Arial" w:hAnsi="Arial" w:cs="Arial"/>
                <w:sz w:val="24"/>
                <w:szCs w:val="24"/>
              </w:rPr>
              <w:t>. Hora</w:t>
            </w:r>
          </w:p>
        </w:tc>
      </w:tr>
      <w:tr w:rsidR="005D7195" w:rsidRPr="005D7195" w:rsidTr="00740195">
        <w:tc>
          <w:tcPr>
            <w:tcW w:w="851" w:type="dxa"/>
          </w:tcPr>
          <w:p w:rsidR="005D7195" w:rsidRPr="005D7195" w:rsidRDefault="005D7195" w:rsidP="005D71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563" w:type="dxa"/>
          </w:tcPr>
          <w:p w:rsidR="005D7195" w:rsidRPr="005D7195" w:rsidRDefault="005D7195" w:rsidP="005D71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801" w:type="dxa"/>
          </w:tcPr>
          <w:p w:rsidR="005D7195" w:rsidRPr="005D7195" w:rsidRDefault="005D7195" w:rsidP="005D71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</w:tr>
      <w:tr w:rsidR="005D7195" w:rsidRPr="005D7195" w:rsidTr="00740195">
        <w:tc>
          <w:tcPr>
            <w:tcW w:w="851" w:type="dxa"/>
          </w:tcPr>
          <w:p w:rsidR="005D7195" w:rsidRPr="005D7195" w:rsidRDefault="005D7195" w:rsidP="005D71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563" w:type="dxa"/>
          </w:tcPr>
          <w:p w:rsidR="005D7195" w:rsidRPr="005D7195" w:rsidRDefault="005D7195" w:rsidP="005D71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801" w:type="dxa"/>
          </w:tcPr>
          <w:p w:rsidR="005D7195" w:rsidRPr="005D7195" w:rsidRDefault="005D7195" w:rsidP="005D71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95">
              <w:rPr>
                <w:rFonts w:ascii="Arial" w:hAnsi="Arial" w:cs="Arial"/>
                <w:sz w:val="24"/>
                <w:szCs w:val="24"/>
              </w:rPr>
              <w:t>39,80</w:t>
            </w:r>
          </w:p>
        </w:tc>
      </w:tr>
    </w:tbl>
    <w:p w:rsidR="005D7195" w:rsidRPr="005D7195" w:rsidRDefault="005D7195" w:rsidP="005D7195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 –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Getúlio Vargas, nº753, no horário das 7h30min às 11h30min e das 13h às 17h,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horas,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Oitavo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Nono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5D7195" w:rsidRPr="005D7195" w:rsidRDefault="005D7195" w:rsidP="005D719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preços do fabricante de venda ao consumidor, destacando o percentual do desconto registrado, recebida pelo fiscal do contrato e Secretário Responsável, sendo o valor depositado na conta bancária fornecida pela Contratada.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Quinto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5D7195" w:rsidRPr="005D7195" w:rsidRDefault="005D7195" w:rsidP="005D71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QUARTA: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O Contrato poderá ser prorrogado por iguais períodos, nos termos do artigo 57, inciso II da Lei nº 8.666/93 e suas alterações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posteriores, ou rescindo a qualquer momento se os serviços não estiverem a contento.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Quarto: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guardar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5D7195" w:rsidRPr="005D7195" w:rsidRDefault="005D7195" w:rsidP="005D71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5D719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5D719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5D7195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5D7195" w:rsidRPr="005D7195" w:rsidRDefault="005D7195" w:rsidP="005D719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5D7195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5D7195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5D7195" w:rsidRPr="005D7195" w:rsidRDefault="005D7195" w:rsidP="005D719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5D7195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5D7195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5D7195" w:rsidRPr="005D7195" w:rsidRDefault="005D7195" w:rsidP="005D719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5D7195" w:rsidRPr="005D7195" w:rsidRDefault="005D7195" w:rsidP="005D71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5D7195" w:rsidRPr="005D7195" w:rsidRDefault="005D7195" w:rsidP="005D719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5D7195" w:rsidRPr="005D7195" w:rsidRDefault="005D7195" w:rsidP="005D719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5D7195" w:rsidRPr="005D7195" w:rsidRDefault="005D7195" w:rsidP="005D719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5D7195" w:rsidRPr="005D7195" w:rsidRDefault="005D7195" w:rsidP="005D719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5D7195" w:rsidRPr="005D7195" w:rsidRDefault="005D7195" w:rsidP="005D7195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D7195">
        <w:rPr>
          <w:rFonts w:ascii="Arial" w:eastAsia="Times New Roman" w:hAnsi="Arial" w:cs="Arial"/>
          <w:sz w:val="24"/>
          <w:szCs w:val="24"/>
          <w:lang w:eastAsia="pt-BR"/>
        </w:rPr>
        <w:t>constatação</w:t>
      </w:r>
      <w:proofErr w:type="gramEnd"/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5D7195" w:rsidRPr="005D7195" w:rsidRDefault="005D7195" w:rsidP="005D719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5D7195" w:rsidRPr="005D7195" w:rsidRDefault="005D7195" w:rsidP="005D7195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5D7195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5D7195" w:rsidRPr="005D7195" w:rsidRDefault="005D7195" w:rsidP="005D7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RICHARD PANAZZOLO </w:t>
      </w:r>
      <w:proofErr w:type="gramStart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FUCHS,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JOVANI BOZETTI,</w:t>
      </w:r>
    </w:p>
    <w:p w:rsidR="005D7195" w:rsidRPr="005D7195" w:rsidRDefault="005D7195" w:rsidP="005D7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D719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195" w:rsidRPr="005D7195" w:rsidRDefault="005D7195" w:rsidP="005D71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5"/>
    <w:rsid w:val="000C2C8B"/>
    <w:rsid w:val="005D7195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4C33-B433-4FEB-AB13-D1AFC83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719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2021-10-29T14:06:00Z</dcterms:created>
  <dcterms:modified xsi:type="dcterms:W3CDTF">2021-10-29T14:06:00Z</dcterms:modified>
</cp:coreProperties>
</file>